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2"/>
        <w:autoSpaceDE/>
        <w:autoSpaceDN/>
        <w:spacing w:after="240" w:line="360" w:lineRule="auto"/>
        <w:jc w:val="center"/>
        <w:rPr>
          <w:rFonts w:eastAsia="黑体"/>
          <w:b/>
          <w:bCs/>
          <w:color w:val="auto"/>
          <w:spacing w:val="-11"/>
          <w:sz w:val="28"/>
          <w:szCs w:val="28"/>
          <w:highlight w:val="none"/>
        </w:rPr>
      </w:pPr>
      <w:r>
        <w:rPr>
          <w:rFonts w:hint="eastAsia" w:eastAsia="黑体"/>
          <w:b/>
          <w:bCs/>
          <w:color w:val="auto"/>
          <w:spacing w:val="-11"/>
          <w:sz w:val="28"/>
          <w:szCs w:val="28"/>
          <w:highlight w:val="none"/>
        </w:rPr>
        <w:t xml:space="preserve"> </w:t>
      </w:r>
    </w:p>
    <w:p>
      <w:pPr>
        <w:pStyle w:val="42"/>
        <w:autoSpaceDE/>
        <w:autoSpaceDN/>
        <w:spacing w:after="240" w:line="360" w:lineRule="auto"/>
        <w:jc w:val="center"/>
        <w:rPr>
          <w:rFonts w:eastAsia="黑体"/>
          <w:b/>
          <w:bCs/>
          <w:color w:val="auto"/>
          <w:spacing w:val="-11"/>
          <w:sz w:val="28"/>
          <w:szCs w:val="28"/>
          <w:highlight w:val="none"/>
        </w:rPr>
      </w:pPr>
    </w:p>
    <w:p>
      <w:pPr>
        <w:pStyle w:val="42"/>
        <w:autoSpaceDE/>
        <w:autoSpaceDN/>
        <w:spacing w:after="240" w:line="360" w:lineRule="auto"/>
        <w:jc w:val="center"/>
        <w:rPr>
          <w:rFonts w:eastAsia="黑体"/>
          <w:b/>
          <w:bCs/>
          <w:color w:val="auto"/>
          <w:spacing w:val="-11"/>
          <w:sz w:val="28"/>
          <w:szCs w:val="28"/>
          <w:highlight w:val="none"/>
        </w:rPr>
      </w:pPr>
    </w:p>
    <w:p>
      <w:pPr>
        <w:pStyle w:val="42"/>
        <w:autoSpaceDE/>
        <w:autoSpaceDN/>
        <w:spacing w:after="240" w:line="360" w:lineRule="auto"/>
        <w:jc w:val="center"/>
        <w:rPr>
          <w:rFonts w:eastAsia="黑体"/>
          <w:b/>
          <w:bCs/>
          <w:color w:val="auto"/>
          <w:spacing w:val="-11"/>
          <w:sz w:val="28"/>
          <w:szCs w:val="28"/>
          <w:highlight w:val="none"/>
        </w:rPr>
      </w:pPr>
    </w:p>
    <w:p>
      <w:pPr>
        <w:spacing w:line="360" w:lineRule="auto"/>
        <w:ind w:left="393"/>
        <w:jc w:val="center"/>
        <w:rPr>
          <w:rFonts w:hint="eastAsia" w:ascii="黑体" w:hAnsi="黑体" w:eastAsia="黑体" w:cs="黑体"/>
          <w:color w:val="auto"/>
          <w:sz w:val="72"/>
          <w:szCs w:val="72"/>
          <w:highlight w:val="none"/>
        </w:rPr>
      </w:pPr>
      <w:bookmarkStart w:id="0" w:name="_Toc8148"/>
      <w:bookmarkStart w:id="1" w:name="_Toc29046"/>
      <w:r>
        <w:rPr>
          <w:rFonts w:hint="eastAsia" w:ascii="黑体" w:hAnsi="黑体" w:eastAsia="黑体" w:cs="黑体"/>
          <w:color w:val="auto"/>
          <w:sz w:val="72"/>
          <w:szCs w:val="72"/>
          <w:highlight w:val="none"/>
        </w:rPr>
        <w:t>上海市混凝土模块化</w:t>
      </w:r>
      <w:bookmarkEnd w:id="0"/>
      <w:bookmarkEnd w:id="1"/>
      <w:r>
        <w:rPr>
          <w:rFonts w:hint="eastAsia" w:ascii="黑体" w:hAnsi="黑体" w:eastAsia="黑体" w:cs="黑体"/>
          <w:color w:val="auto"/>
          <w:sz w:val="72"/>
          <w:szCs w:val="72"/>
          <w:highlight w:val="none"/>
        </w:rPr>
        <w:t>建筑</w:t>
      </w:r>
    </w:p>
    <w:p>
      <w:pPr>
        <w:spacing w:line="360" w:lineRule="auto"/>
        <w:ind w:left="193"/>
        <w:jc w:val="center"/>
        <w:rPr>
          <w:rFonts w:hint="eastAsia" w:ascii="黑体" w:hAnsi="黑体" w:eastAsia="黑体" w:cs="黑体"/>
          <w:color w:val="auto"/>
          <w:szCs w:val="72"/>
          <w:highlight w:val="none"/>
        </w:rPr>
      </w:pPr>
      <w:r>
        <w:rPr>
          <w:rFonts w:hint="eastAsia" w:ascii="黑体" w:hAnsi="黑体" w:eastAsia="黑体" w:cs="黑体"/>
          <w:color w:val="auto"/>
          <w:sz w:val="72"/>
          <w:szCs w:val="72"/>
          <w:highlight w:val="none"/>
        </w:rPr>
        <w:t>技术导则（试行）</w:t>
      </w:r>
    </w:p>
    <w:p>
      <w:pPr>
        <w:pStyle w:val="42"/>
        <w:autoSpaceDE/>
        <w:autoSpaceDN/>
        <w:spacing w:after="240" w:line="360" w:lineRule="auto"/>
        <w:ind w:left="190"/>
        <w:jc w:val="center"/>
        <w:rPr>
          <w:rFonts w:eastAsia="黑体"/>
          <w:color w:val="auto"/>
          <w:spacing w:val="-11"/>
          <w:sz w:val="72"/>
          <w:szCs w:val="72"/>
          <w:highlight w:val="none"/>
        </w:rPr>
      </w:pPr>
    </w:p>
    <w:p>
      <w:pPr>
        <w:pStyle w:val="42"/>
        <w:autoSpaceDE/>
        <w:autoSpaceDN/>
        <w:spacing w:after="240" w:line="360" w:lineRule="auto"/>
        <w:ind w:left="190"/>
        <w:jc w:val="center"/>
        <w:rPr>
          <w:rFonts w:eastAsia="黑体"/>
          <w:color w:val="auto"/>
          <w:spacing w:val="-11"/>
          <w:sz w:val="72"/>
          <w:szCs w:val="72"/>
          <w:highlight w:val="none"/>
        </w:rPr>
      </w:pPr>
    </w:p>
    <w:p>
      <w:pPr>
        <w:pStyle w:val="42"/>
        <w:autoSpaceDE/>
        <w:autoSpaceDN/>
        <w:spacing w:after="240" w:line="360" w:lineRule="auto"/>
        <w:ind w:left="190"/>
        <w:jc w:val="center"/>
        <w:rPr>
          <w:rFonts w:eastAsia="黑体"/>
          <w:color w:val="auto"/>
          <w:spacing w:val="-11"/>
          <w:sz w:val="72"/>
          <w:szCs w:val="72"/>
          <w:highlight w:val="none"/>
        </w:rPr>
      </w:pPr>
    </w:p>
    <w:p>
      <w:pPr>
        <w:pStyle w:val="42"/>
        <w:autoSpaceDE/>
        <w:autoSpaceDN/>
        <w:spacing w:after="240" w:line="360" w:lineRule="auto"/>
        <w:ind w:left="190"/>
        <w:jc w:val="center"/>
        <w:rPr>
          <w:rFonts w:eastAsia="黑体"/>
          <w:color w:val="auto"/>
          <w:spacing w:val="-11"/>
          <w:sz w:val="72"/>
          <w:szCs w:val="72"/>
          <w:highlight w:val="none"/>
        </w:rPr>
      </w:pPr>
    </w:p>
    <w:p>
      <w:pPr>
        <w:pStyle w:val="42"/>
        <w:autoSpaceDE/>
        <w:autoSpaceDN/>
        <w:spacing w:after="240" w:line="360" w:lineRule="auto"/>
        <w:ind w:left="190"/>
        <w:jc w:val="center"/>
        <w:rPr>
          <w:rFonts w:eastAsia="黑体"/>
          <w:color w:val="auto"/>
          <w:spacing w:val="-11"/>
          <w:sz w:val="72"/>
          <w:szCs w:val="72"/>
          <w:highlight w:val="none"/>
        </w:rPr>
      </w:pPr>
    </w:p>
    <w:p>
      <w:pPr>
        <w:pStyle w:val="42"/>
        <w:autoSpaceDE/>
        <w:autoSpaceDN/>
        <w:spacing w:line="360" w:lineRule="auto"/>
        <w:jc w:val="center"/>
        <w:rPr>
          <w:rFonts w:eastAsia="黑体"/>
          <w:color w:val="auto"/>
          <w:spacing w:val="-11"/>
          <w:sz w:val="32"/>
          <w:szCs w:val="32"/>
          <w:highlight w:val="none"/>
        </w:rPr>
      </w:pPr>
      <w:r>
        <w:rPr>
          <w:rFonts w:hint="eastAsia" w:eastAsia="黑体"/>
          <w:color w:val="auto"/>
          <w:spacing w:val="-11"/>
          <w:sz w:val="32"/>
          <w:szCs w:val="32"/>
          <w:highlight w:val="none"/>
        </w:rPr>
        <w:t xml:space="preserve">上 海 市 住 房 和 城 乡 建 设 </w:t>
      </w:r>
      <w:r>
        <w:rPr>
          <w:rFonts w:hint="eastAsia" w:eastAsia="黑体"/>
          <w:color w:val="auto"/>
          <w:spacing w:val="-11"/>
          <w:sz w:val="32"/>
          <w:szCs w:val="32"/>
          <w:highlight w:val="none"/>
          <w:lang w:eastAsia="zh-CN"/>
        </w:rPr>
        <w:t>管</w:t>
      </w:r>
      <w:r>
        <w:rPr>
          <w:rFonts w:hint="eastAsia" w:eastAsia="黑体"/>
          <w:color w:val="auto"/>
          <w:spacing w:val="-11"/>
          <w:sz w:val="32"/>
          <w:szCs w:val="32"/>
          <w:highlight w:val="none"/>
          <w:lang w:val="en-US" w:eastAsia="zh-CN"/>
        </w:rPr>
        <w:t xml:space="preserve"> </w:t>
      </w:r>
      <w:r>
        <w:rPr>
          <w:rFonts w:hint="eastAsia" w:eastAsia="黑体"/>
          <w:color w:val="auto"/>
          <w:spacing w:val="-11"/>
          <w:sz w:val="32"/>
          <w:szCs w:val="32"/>
          <w:highlight w:val="none"/>
          <w:lang w:eastAsia="zh-CN"/>
        </w:rPr>
        <w:t>理</w:t>
      </w:r>
      <w:r>
        <w:rPr>
          <w:rFonts w:hint="eastAsia" w:eastAsia="黑体"/>
          <w:color w:val="auto"/>
          <w:spacing w:val="-11"/>
          <w:sz w:val="32"/>
          <w:szCs w:val="32"/>
          <w:highlight w:val="none"/>
          <w:lang w:val="en-US" w:eastAsia="zh-CN"/>
        </w:rPr>
        <w:t xml:space="preserve"> </w:t>
      </w:r>
      <w:r>
        <w:rPr>
          <w:rFonts w:hint="eastAsia" w:eastAsia="黑体"/>
          <w:color w:val="auto"/>
          <w:spacing w:val="-11"/>
          <w:sz w:val="32"/>
          <w:szCs w:val="32"/>
          <w:highlight w:val="none"/>
        </w:rPr>
        <w:t>委 员 会</w:t>
      </w:r>
    </w:p>
    <w:p>
      <w:pPr>
        <w:spacing w:before="360" w:after="360"/>
        <w:ind w:left="190"/>
        <w:jc w:val="center"/>
        <w:rPr>
          <w:rFonts w:hint="eastAsia" w:ascii="黑体" w:hAnsi="黑体" w:eastAsia="黑体" w:cs="黑体"/>
          <w:color w:val="auto"/>
          <w:spacing w:val="-11"/>
          <w:sz w:val="32"/>
          <w:szCs w:val="32"/>
          <w:highlight w:val="none"/>
          <w:lang w:eastAsia="zh-CN"/>
        </w:rPr>
      </w:pPr>
      <w:r>
        <w:rPr>
          <w:rFonts w:hint="eastAsia" w:ascii="黑体" w:hAnsi="黑体" w:eastAsia="黑体" w:cs="黑体"/>
          <w:color w:val="auto"/>
          <w:spacing w:val="-11"/>
          <w:sz w:val="32"/>
          <w:szCs w:val="32"/>
          <w:highlight w:val="none"/>
        </w:rPr>
        <w:t>202</w:t>
      </w:r>
      <w:r>
        <w:rPr>
          <w:rFonts w:hint="eastAsia" w:ascii="黑体" w:hAnsi="黑体" w:eastAsia="黑体" w:cs="黑体"/>
          <w:color w:val="auto"/>
          <w:spacing w:val="-11"/>
          <w:sz w:val="32"/>
          <w:szCs w:val="32"/>
          <w:highlight w:val="none"/>
          <w:lang w:val="en-US" w:eastAsia="zh-CN"/>
        </w:rPr>
        <w:t>6</w:t>
      </w:r>
      <w:r>
        <w:rPr>
          <w:rFonts w:hint="eastAsia" w:ascii="黑体" w:hAnsi="黑体" w:eastAsia="黑体" w:cs="黑体"/>
          <w:color w:val="auto"/>
          <w:spacing w:val="-11"/>
          <w:sz w:val="32"/>
          <w:szCs w:val="32"/>
          <w:highlight w:val="none"/>
        </w:rPr>
        <w:t>年</w:t>
      </w:r>
      <w:r>
        <w:rPr>
          <w:rFonts w:hint="eastAsia" w:ascii="黑体" w:hAnsi="黑体" w:eastAsia="黑体" w:cs="黑体"/>
          <w:color w:val="auto"/>
          <w:spacing w:val="-11"/>
          <w:sz w:val="32"/>
          <w:szCs w:val="32"/>
          <w:highlight w:val="none"/>
          <w:lang w:val="en-US" w:eastAsia="zh-CN"/>
        </w:rPr>
        <w:t>3月</w:t>
      </w:r>
    </w:p>
    <w:p>
      <w:pPr>
        <w:widowControl/>
        <w:jc w:val="left"/>
        <w:rPr>
          <w:rFonts w:hint="eastAsia" w:ascii="宋体" w:hAnsi="宋体"/>
          <w:b/>
          <w:color w:val="auto"/>
          <w:sz w:val="28"/>
          <w:szCs w:val="28"/>
          <w:highlight w:val="none"/>
        </w:rPr>
      </w:pPr>
    </w:p>
    <w:p>
      <w:pPr>
        <w:jc w:val="center"/>
        <w:rPr>
          <w:color w:val="auto"/>
          <w:sz w:val="28"/>
          <w:szCs w:val="28"/>
          <w:highlight w:val="none"/>
        </w:rPr>
        <w:sectPr>
          <w:footerReference r:id="rId3" w:type="default"/>
          <w:footerReference r:id="rId4" w:type="even"/>
          <w:pgSz w:w="11906" w:h="16838"/>
          <w:pgMar w:top="1610" w:right="1349" w:bottom="1213" w:left="1293" w:header="851" w:footer="992" w:gutter="0"/>
          <w:pgNumType w:start="1"/>
          <w:cols w:space="720" w:num="1"/>
          <w:docGrid w:type="linesAndChars" w:linePitch="333" w:charSpace="2165"/>
        </w:sectPr>
      </w:pPr>
      <w:bookmarkStart w:id="2" w:name="_Toc22779"/>
      <w:bookmarkStart w:id="3" w:name="_Toc14938"/>
      <w:bookmarkStart w:id="4" w:name="_Toc30956"/>
      <w:bookmarkStart w:id="5" w:name="_Toc6681"/>
      <w:bookmarkStart w:id="6" w:name="_Toc23528"/>
      <w:bookmarkStart w:id="7" w:name="_Toc6795"/>
      <w:bookmarkStart w:id="8" w:name="_Toc17944"/>
      <w:bookmarkStart w:id="9" w:name="_Toc1686"/>
      <w:bookmarkStart w:id="10" w:name="_Toc31065"/>
    </w:p>
    <w:p>
      <w:pPr>
        <w:jc w:val="center"/>
        <w:rPr>
          <w:b/>
          <w:bCs/>
          <w:color w:val="auto"/>
          <w:sz w:val="28"/>
          <w:szCs w:val="28"/>
          <w:highlight w:val="none"/>
        </w:rPr>
      </w:pPr>
      <w:r>
        <w:rPr>
          <w:rFonts w:hint="eastAsia"/>
          <w:b/>
          <w:bCs/>
          <w:color w:val="auto"/>
          <w:sz w:val="28"/>
          <w:szCs w:val="28"/>
          <w:highlight w:val="none"/>
        </w:rPr>
        <w:t>前</w:t>
      </w:r>
      <w:r>
        <w:rPr>
          <w:b/>
          <w:bCs/>
          <w:color w:val="auto"/>
          <w:sz w:val="28"/>
          <w:szCs w:val="28"/>
          <w:highlight w:val="none"/>
        </w:rPr>
        <w:t xml:space="preserve">    </w:t>
      </w:r>
      <w:r>
        <w:rPr>
          <w:rFonts w:hint="eastAsia"/>
          <w:b/>
          <w:bCs/>
          <w:color w:val="auto"/>
          <w:sz w:val="28"/>
          <w:szCs w:val="28"/>
          <w:highlight w:val="none"/>
        </w:rPr>
        <w:t>言</w:t>
      </w:r>
      <w:bookmarkEnd w:id="2"/>
      <w:bookmarkEnd w:id="3"/>
      <w:bookmarkEnd w:id="4"/>
      <w:bookmarkEnd w:id="5"/>
      <w:bookmarkEnd w:id="6"/>
      <w:bookmarkEnd w:id="7"/>
      <w:bookmarkEnd w:id="8"/>
      <w:bookmarkEnd w:id="9"/>
      <w:bookmarkEnd w:id="10"/>
    </w:p>
    <w:p>
      <w:pPr>
        <w:ind w:firstLine="440" w:firstLineChars="200"/>
        <w:jc w:val="left"/>
        <w:rPr>
          <w:color w:val="auto"/>
          <w:szCs w:val="21"/>
          <w:highlight w:val="none"/>
        </w:rPr>
      </w:pPr>
      <w:r>
        <w:rPr>
          <w:rFonts w:hint="eastAsia"/>
          <w:color w:val="auto"/>
          <w:szCs w:val="21"/>
          <w:highlight w:val="none"/>
        </w:rPr>
        <w:t>根据上海市住房和城乡建设管理委员会要求，导则编制组在充分总结以往经验，结合新的发展形势和要求，参考有关国家、行业及本市相关导则、标准规范和文献资料，并在广泛征求意见的基础上，编制了本导则。</w:t>
      </w:r>
    </w:p>
    <w:p>
      <w:pPr>
        <w:ind w:firstLine="440" w:firstLineChars="200"/>
        <w:rPr>
          <w:color w:val="auto"/>
          <w:highlight w:val="none"/>
        </w:rPr>
      </w:pPr>
      <w:r>
        <w:rPr>
          <w:rFonts w:hint="eastAsia"/>
          <w:color w:val="auto"/>
          <w:highlight w:val="none"/>
        </w:rPr>
        <w:t>本导则的主要内容有：总则；术语；项目策划；建筑设计；结构设计；设备与管线设计；内装设计；制造与运输；安装连接与循环利用；质量验收；管理与维护；智能建造；附录A；附录B；附录C。</w:t>
      </w:r>
    </w:p>
    <w:p>
      <w:pPr>
        <w:ind w:firstLine="440" w:firstLineChars="200"/>
        <w:rPr>
          <w:rFonts w:hint="eastAsia" w:ascii="宋体" w:hAnsi="宋体"/>
          <w:color w:val="auto"/>
          <w:spacing w:val="21"/>
          <w:kern w:val="0"/>
          <w:szCs w:val="21"/>
          <w:highlight w:val="none"/>
        </w:rPr>
      </w:pPr>
      <w:r>
        <w:rPr>
          <w:color w:val="auto"/>
          <w:highlight w:val="none"/>
        </w:rPr>
        <w:t>各单位及相关人员在执行本</w:t>
      </w:r>
      <w:r>
        <w:rPr>
          <w:rFonts w:hint="eastAsia"/>
          <w:color w:val="auto"/>
          <w:highlight w:val="none"/>
        </w:rPr>
        <w:t>导则</w:t>
      </w:r>
      <w:r>
        <w:rPr>
          <w:color w:val="auto"/>
          <w:highlight w:val="none"/>
        </w:rPr>
        <w:t>过程中，如有意见和建议，请反馈至</w:t>
      </w:r>
      <w:r>
        <w:rPr>
          <w:rFonts w:hint="eastAsia"/>
          <w:color w:val="auto"/>
          <w:highlight w:val="none"/>
        </w:rPr>
        <w:t>同济大学</w:t>
      </w:r>
      <w:r>
        <w:rPr>
          <w:rFonts w:hint="eastAsia"/>
          <w:color w:val="auto"/>
          <w:highlight w:val="none"/>
          <w:lang w:eastAsia="zh-CN"/>
        </w:rPr>
        <w:t>（</w:t>
      </w:r>
      <w:r>
        <w:rPr>
          <w:color w:val="auto"/>
          <w:highlight w:val="none"/>
        </w:rPr>
        <w:t>地址</w:t>
      </w:r>
      <w:r>
        <w:rPr>
          <w:rFonts w:hint="eastAsia"/>
          <w:color w:val="auto"/>
          <w:highlight w:val="none"/>
        </w:rPr>
        <w:t>：</w:t>
      </w:r>
      <w:r>
        <w:rPr>
          <w:color w:val="auto"/>
          <w:highlight w:val="none"/>
        </w:rPr>
        <w:t>上海市</w:t>
      </w:r>
      <w:r>
        <w:rPr>
          <w:rFonts w:hint="eastAsia"/>
          <w:color w:val="auto"/>
          <w:highlight w:val="none"/>
        </w:rPr>
        <w:t>四平路1239</w:t>
      </w:r>
      <w:r>
        <w:rPr>
          <w:color w:val="auto"/>
          <w:highlight w:val="none"/>
        </w:rPr>
        <w:t>号</w:t>
      </w:r>
      <w:r>
        <w:rPr>
          <w:rFonts w:hint="eastAsia"/>
          <w:color w:val="auto"/>
          <w:highlight w:val="none"/>
        </w:rPr>
        <w:t>；</w:t>
      </w:r>
      <w:r>
        <w:rPr>
          <w:color w:val="auto"/>
          <w:highlight w:val="none"/>
        </w:rPr>
        <w:t>邮编</w:t>
      </w:r>
      <w:r>
        <w:rPr>
          <w:rFonts w:hint="eastAsia"/>
          <w:color w:val="auto"/>
          <w:highlight w:val="none"/>
        </w:rPr>
        <w:t>：</w:t>
      </w:r>
      <w:r>
        <w:rPr>
          <w:color w:val="auto"/>
          <w:highlight w:val="none"/>
        </w:rPr>
        <w:t>2000</w:t>
      </w:r>
      <w:r>
        <w:rPr>
          <w:rFonts w:hint="eastAsia"/>
          <w:color w:val="auto"/>
          <w:highlight w:val="none"/>
        </w:rPr>
        <w:t>92；</w:t>
      </w:r>
      <w:r>
        <w:rPr>
          <w:color w:val="auto"/>
          <w:highlight w:val="none"/>
        </w:rPr>
        <w:t>E-mail</w:t>
      </w:r>
      <w:r>
        <w:rPr>
          <w:rFonts w:hint="eastAsia"/>
          <w:color w:val="auto"/>
          <w:highlight w:val="none"/>
        </w:rPr>
        <w:t>：chenchen_cc@tongji.edu.cn）</w:t>
      </w:r>
    </w:p>
    <w:p>
      <w:pPr>
        <w:ind w:firstLine="455" w:firstLineChars="155"/>
        <w:jc w:val="left"/>
        <w:rPr>
          <w:rFonts w:hint="eastAsia" w:ascii="宋体" w:hAnsi="宋体"/>
          <w:color w:val="auto"/>
          <w:kern w:val="0"/>
          <w:szCs w:val="21"/>
          <w:highlight w:val="none"/>
        </w:rPr>
      </w:pPr>
      <w:r>
        <w:rPr>
          <w:rFonts w:hint="eastAsia" w:ascii="宋体" w:hAnsi="宋体"/>
          <w:b/>
          <w:bCs/>
          <w:spacing w:val="37"/>
          <w:kern w:val="0"/>
          <w:sz w:val="21"/>
          <w:szCs w:val="21"/>
          <w:highlight w:val="none"/>
          <w:fitText w:val="2210" w:id="-33195"/>
          <w:lang w:eastAsia="zh-CN"/>
        </w:rPr>
        <w:t>本导则</w:t>
      </w:r>
      <w:r>
        <w:rPr>
          <w:rFonts w:hint="eastAsia" w:ascii="宋体" w:hAnsi="宋体" w:eastAsia="宋体"/>
          <w:b/>
          <w:bCs/>
          <w:spacing w:val="37"/>
          <w:kern w:val="0"/>
          <w:sz w:val="21"/>
          <w:szCs w:val="21"/>
          <w:highlight w:val="none"/>
          <w:fitText w:val="2210" w:id="-33195"/>
        </w:rPr>
        <w:t>主编单位</w:t>
      </w:r>
      <w:r>
        <w:rPr>
          <w:rFonts w:hint="eastAsia" w:eastAsia="宋体" w:cs="等线"/>
          <w:b/>
          <w:bCs/>
          <w:spacing w:val="6"/>
          <w:kern w:val="0"/>
          <w:sz w:val="21"/>
          <w:szCs w:val="21"/>
          <w:highlight w:val="none"/>
          <w:fitText w:val="2210" w:id="-33195"/>
        </w:rPr>
        <w:t>：</w:t>
      </w:r>
      <w:r>
        <w:rPr>
          <w:rFonts w:hint="eastAsia" w:ascii="宋体" w:hAnsi="宋体"/>
          <w:color w:val="auto"/>
          <w:kern w:val="0"/>
          <w:szCs w:val="21"/>
          <w:highlight w:val="none"/>
        </w:rPr>
        <w:t>同济大学</w:t>
      </w:r>
    </w:p>
    <w:p>
      <w:pPr>
        <w:ind w:firstLine="340" w:firstLineChars="155"/>
        <w:jc w:val="left"/>
        <w:rPr>
          <w:rFonts w:hint="eastAsia" w:ascii="宋体" w:hAnsi="宋体"/>
          <w:color w:val="auto"/>
          <w:szCs w:val="21"/>
          <w:highlight w:val="none"/>
        </w:rPr>
      </w:pPr>
      <w:r>
        <w:rPr>
          <w:rFonts w:hint="eastAsia" w:ascii="宋体" w:hAnsi="宋体"/>
          <w:color w:val="auto"/>
          <w:kern w:val="0"/>
          <w:szCs w:val="21"/>
          <w:highlight w:val="none"/>
        </w:rPr>
        <w:t xml:space="preserve">                  </w:t>
      </w:r>
      <w:r>
        <w:rPr>
          <w:rFonts w:hint="eastAsia" w:ascii="宋体" w:hAnsi="宋体"/>
          <w:color w:val="auto"/>
          <w:kern w:val="0"/>
          <w:szCs w:val="21"/>
          <w:highlight w:val="none"/>
          <w:lang w:val="en-US" w:eastAsia="zh-CN"/>
        </w:rPr>
        <w:t xml:space="preserve">  </w:t>
      </w:r>
      <w:r>
        <w:rPr>
          <w:rFonts w:hint="eastAsia" w:ascii="宋体" w:hAnsi="宋体"/>
          <w:color w:val="auto"/>
          <w:kern w:val="0"/>
          <w:szCs w:val="21"/>
          <w:highlight w:val="none"/>
        </w:rPr>
        <w:t xml:space="preserve"> </w:t>
      </w:r>
      <w:r>
        <w:rPr>
          <w:rFonts w:hint="eastAsia" w:ascii="宋体" w:hAnsi="宋体"/>
          <w:color w:val="auto"/>
          <w:szCs w:val="21"/>
          <w:highlight w:val="none"/>
        </w:rPr>
        <w:t>中建海龙科技有限公司</w:t>
      </w:r>
    </w:p>
    <w:p>
      <w:pPr>
        <w:ind w:firstLine="340" w:firstLineChars="155"/>
        <w:jc w:val="left"/>
        <w:rPr>
          <w:rFonts w:hint="eastAsia" w:ascii="宋体" w:hAnsi="宋体"/>
          <w:color w:val="auto"/>
          <w:spacing w:val="21"/>
          <w:kern w:val="0"/>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中建八局科技建设有限公司</w:t>
      </w:r>
    </w:p>
    <w:p>
      <w:pPr>
        <w:ind w:firstLine="455" w:firstLineChars="155"/>
        <w:jc w:val="left"/>
        <w:rPr>
          <w:rFonts w:hint="eastAsia" w:ascii="宋体" w:hAnsi="宋体"/>
          <w:color w:val="auto"/>
          <w:kern w:val="0"/>
          <w:szCs w:val="21"/>
          <w:highlight w:val="none"/>
        </w:rPr>
      </w:pPr>
      <w:r>
        <w:rPr>
          <w:rFonts w:hint="eastAsia" w:ascii="宋体" w:hAnsi="宋体" w:eastAsia="宋体"/>
          <w:b/>
          <w:bCs/>
          <w:spacing w:val="37"/>
          <w:kern w:val="0"/>
          <w:sz w:val="21"/>
          <w:szCs w:val="21"/>
          <w:highlight w:val="none"/>
          <w:fitText w:val="2210" w:id="-33195"/>
        </w:rPr>
        <w:t>本导则参编单位</w:t>
      </w:r>
      <w:r>
        <w:rPr>
          <w:rFonts w:hint="eastAsia" w:ascii="宋体" w:hAnsi="宋体" w:eastAsia="宋体"/>
          <w:b/>
          <w:bCs/>
          <w:spacing w:val="6"/>
          <w:kern w:val="0"/>
          <w:sz w:val="21"/>
          <w:szCs w:val="21"/>
          <w:highlight w:val="none"/>
          <w:fitText w:val="2210" w:id="-33195"/>
        </w:rPr>
        <w:t>：</w:t>
      </w:r>
      <w:r>
        <w:rPr>
          <w:rFonts w:hint="eastAsia" w:ascii="宋体" w:hAnsi="宋体"/>
          <w:color w:val="auto"/>
          <w:kern w:val="0"/>
          <w:szCs w:val="21"/>
          <w:highlight w:val="none"/>
        </w:rPr>
        <w:t>上海天华建筑设计有限公司</w:t>
      </w:r>
    </w:p>
    <w:p>
      <w:pPr>
        <w:ind w:firstLine="340" w:firstLineChars="155"/>
        <w:jc w:val="left"/>
        <w:rPr>
          <w:rFonts w:hint="eastAsia" w:ascii="宋体" w:hAnsi="宋体"/>
          <w:color w:val="auto"/>
          <w:kern w:val="0"/>
          <w:szCs w:val="21"/>
          <w:highlight w:val="none"/>
        </w:rPr>
      </w:pPr>
      <w:r>
        <w:rPr>
          <w:rFonts w:hint="eastAsia" w:ascii="宋体" w:hAnsi="宋体"/>
          <w:color w:val="auto"/>
          <w:kern w:val="0"/>
          <w:szCs w:val="21"/>
          <w:highlight w:val="none"/>
        </w:rPr>
        <w:t xml:space="preserve">                   </w:t>
      </w:r>
      <w:r>
        <w:rPr>
          <w:rFonts w:hint="eastAsia" w:ascii="宋体" w:hAnsi="宋体"/>
          <w:color w:val="auto"/>
          <w:kern w:val="0"/>
          <w:szCs w:val="21"/>
          <w:highlight w:val="none"/>
          <w:lang w:val="en-US" w:eastAsia="zh-CN"/>
        </w:rPr>
        <w:t xml:space="preserve">  </w:t>
      </w:r>
      <w:r>
        <w:rPr>
          <w:rFonts w:hint="eastAsia" w:ascii="宋体" w:hAnsi="宋体"/>
          <w:color w:val="auto"/>
          <w:kern w:val="0"/>
          <w:szCs w:val="21"/>
          <w:highlight w:val="none"/>
        </w:rPr>
        <w:t>上海市建筑科学研究院有限公司</w:t>
      </w:r>
    </w:p>
    <w:p>
      <w:pPr>
        <w:ind w:firstLine="340" w:firstLineChars="155"/>
        <w:jc w:val="left"/>
        <w:rPr>
          <w:rFonts w:hint="eastAsia" w:ascii="宋体" w:hAnsi="宋体"/>
          <w:color w:val="auto"/>
          <w:kern w:val="0"/>
          <w:szCs w:val="21"/>
          <w:highlight w:val="none"/>
        </w:rPr>
      </w:pPr>
      <w:r>
        <w:rPr>
          <w:rFonts w:hint="eastAsia" w:ascii="宋体" w:hAnsi="宋体"/>
          <w:color w:val="auto"/>
          <w:kern w:val="0"/>
          <w:szCs w:val="21"/>
          <w:highlight w:val="none"/>
        </w:rPr>
        <w:t xml:space="preserve">                  </w:t>
      </w:r>
      <w:r>
        <w:rPr>
          <w:rFonts w:hint="eastAsia" w:ascii="宋体" w:hAnsi="宋体"/>
          <w:color w:val="auto"/>
          <w:kern w:val="0"/>
          <w:szCs w:val="21"/>
          <w:highlight w:val="none"/>
          <w:lang w:val="en-US" w:eastAsia="zh-CN"/>
        </w:rPr>
        <w:t xml:space="preserve">  </w:t>
      </w:r>
      <w:r>
        <w:rPr>
          <w:rFonts w:hint="eastAsia" w:ascii="宋体" w:hAnsi="宋体"/>
          <w:color w:val="auto"/>
          <w:kern w:val="0"/>
          <w:szCs w:val="21"/>
          <w:highlight w:val="none"/>
        </w:rPr>
        <w:t xml:space="preserve"> 华东建筑集团股份有限公司</w:t>
      </w:r>
    </w:p>
    <w:p>
      <w:pPr>
        <w:ind w:firstLine="340" w:firstLineChars="155"/>
        <w:jc w:val="left"/>
        <w:rPr>
          <w:rFonts w:hint="eastAsia" w:ascii="宋体" w:hAnsi="宋体"/>
          <w:color w:val="auto"/>
          <w:kern w:val="0"/>
          <w:szCs w:val="21"/>
          <w:highlight w:val="none"/>
        </w:rPr>
      </w:pPr>
      <w:r>
        <w:rPr>
          <w:rFonts w:hint="eastAsia" w:ascii="宋体" w:hAnsi="宋体"/>
          <w:color w:val="auto"/>
          <w:kern w:val="0"/>
          <w:szCs w:val="21"/>
          <w:highlight w:val="none"/>
        </w:rPr>
        <w:t xml:space="preserve">                </w:t>
      </w:r>
      <w:r>
        <w:rPr>
          <w:rFonts w:hint="eastAsia" w:ascii="宋体" w:hAnsi="宋体"/>
          <w:color w:val="auto"/>
          <w:kern w:val="0"/>
          <w:szCs w:val="21"/>
          <w:highlight w:val="none"/>
          <w:lang w:val="en-US" w:eastAsia="zh-CN"/>
        </w:rPr>
        <w:t xml:space="preserve">  </w:t>
      </w:r>
      <w:r>
        <w:rPr>
          <w:rFonts w:hint="eastAsia" w:ascii="宋体" w:hAnsi="宋体"/>
          <w:color w:val="auto"/>
          <w:kern w:val="0"/>
          <w:szCs w:val="21"/>
          <w:highlight w:val="none"/>
        </w:rPr>
        <w:t xml:space="preserve">   同济大学建筑设计研究院（集团）有限公司</w:t>
      </w:r>
    </w:p>
    <w:p>
      <w:pPr>
        <w:ind w:firstLine="340" w:firstLineChars="155"/>
        <w:jc w:val="left"/>
        <w:rPr>
          <w:rFonts w:hint="eastAsia" w:ascii="宋体" w:hAnsi="宋体"/>
          <w:color w:val="auto"/>
          <w:kern w:val="0"/>
          <w:szCs w:val="21"/>
          <w:highlight w:val="none"/>
        </w:rPr>
      </w:pPr>
      <w:r>
        <w:rPr>
          <w:rFonts w:hint="eastAsia" w:ascii="宋体" w:hAnsi="宋体"/>
          <w:color w:val="auto"/>
          <w:kern w:val="0"/>
          <w:szCs w:val="21"/>
          <w:highlight w:val="none"/>
        </w:rPr>
        <w:t xml:space="preserve">                </w:t>
      </w:r>
      <w:r>
        <w:rPr>
          <w:rFonts w:hint="eastAsia" w:ascii="宋体" w:hAnsi="宋体"/>
          <w:color w:val="auto"/>
          <w:kern w:val="0"/>
          <w:szCs w:val="21"/>
          <w:highlight w:val="none"/>
          <w:lang w:val="en-US" w:eastAsia="zh-CN"/>
        </w:rPr>
        <w:t xml:space="preserve">  </w:t>
      </w:r>
      <w:r>
        <w:rPr>
          <w:rFonts w:hint="eastAsia" w:ascii="宋体" w:hAnsi="宋体"/>
          <w:color w:val="auto"/>
          <w:kern w:val="0"/>
          <w:szCs w:val="21"/>
          <w:highlight w:val="none"/>
        </w:rPr>
        <w:t xml:space="preserve">   上海徐房（集团）有限公司</w:t>
      </w:r>
    </w:p>
    <w:p>
      <w:pPr>
        <w:ind w:firstLine="340" w:firstLineChars="155"/>
        <w:jc w:val="left"/>
        <w:rPr>
          <w:rFonts w:hint="eastAsia" w:ascii="宋体" w:hAnsi="宋体"/>
          <w:color w:val="auto"/>
          <w:kern w:val="0"/>
          <w:szCs w:val="21"/>
          <w:highlight w:val="none"/>
        </w:rPr>
      </w:pPr>
      <w:r>
        <w:rPr>
          <w:rFonts w:hint="eastAsia" w:ascii="宋体" w:hAnsi="宋体"/>
          <w:color w:val="auto"/>
          <w:kern w:val="0"/>
          <w:szCs w:val="21"/>
          <w:highlight w:val="none"/>
        </w:rPr>
        <w:t xml:space="preserve">                </w:t>
      </w:r>
      <w:r>
        <w:rPr>
          <w:rFonts w:hint="eastAsia" w:ascii="宋体" w:hAnsi="宋体"/>
          <w:color w:val="auto"/>
          <w:kern w:val="0"/>
          <w:szCs w:val="21"/>
          <w:highlight w:val="none"/>
          <w:lang w:val="en-US" w:eastAsia="zh-CN"/>
        </w:rPr>
        <w:t xml:space="preserve">  </w:t>
      </w:r>
      <w:r>
        <w:rPr>
          <w:rFonts w:hint="eastAsia" w:ascii="宋体" w:hAnsi="宋体"/>
          <w:color w:val="auto"/>
          <w:kern w:val="0"/>
          <w:szCs w:val="21"/>
          <w:highlight w:val="none"/>
        </w:rPr>
        <w:t xml:space="preserve">   上海徐房建筑实业有限公司</w:t>
      </w:r>
    </w:p>
    <w:p>
      <w:pPr>
        <w:ind w:firstLine="340" w:firstLineChars="155"/>
        <w:jc w:val="left"/>
        <w:rPr>
          <w:rFonts w:hint="eastAsia" w:ascii="宋体" w:hAnsi="宋体"/>
          <w:color w:val="auto"/>
          <w:kern w:val="0"/>
          <w:szCs w:val="21"/>
          <w:highlight w:val="none"/>
        </w:rPr>
      </w:pPr>
      <w:r>
        <w:rPr>
          <w:rFonts w:hint="eastAsia" w:ascii="宋体" w:hAnsi="宋体"/>
          <w:color w:val="auto"/>
          <w:kern w:val="0"/>
          <w:szCs w:val="21"/>
          <w:highlight w:val="none"/>
        </w:rPr>
        <w:t xml:space="preserve">                   </w:t>
      </w:r>
      <w:r>
        <w:rPr>
          <w:rFonts w:hint="eastAsia" w:ascii="宋体" w:hAnsi="宋体"/>
          <w:color w:val="auto"/>
          <w:kern w:val="0"/>
          <w:szCs w:val="21"/>
          <w:highlight w:val="none"/>
          <w:lang w:val="en-US" w:eastAsia="zh-CN"/>
        </w:rPr>
        <w:t xml:space="preserve">  </w:t>
      </w:r>
      <w:r>
        <w:rPr>
          <w:rFonts w:hint="eastAsia" w:ascii="宋体" w:hAnsi="宋体"/>
          <w:color w:val="auto"/>
          <w:kern w:val="0"/>
          <w:szCs w:val="21"/>
          <w:highlight w:val="none"/>
        </w:rPr>
        <w:t>上海建工集团股份有限公司</w:t>
      </w:r>
    </w:p>
    <w:p>
      <w:pPr>
        <w:ind w:firstLine="340" w:firstLineChars="155"/>
        <w:jc w:val="left"/>
        <w:rPr>
          <w:rFonts w:hint="eastAsia" w:ascii="宋体" w:hAnsi="宋体"/>
          <w:color w:val="auto"/>
          <w:kern w:val="0"/>
          <w:szCs w:val="21"/>
          <w:highlight w:val="none"/>
        </w:rPr>
      </w:pPr>
      <w:r>
        <w:rPr>
          <w:rFonts w:hint="eastAsia" w:ascii="宋体" w:hAnsi="宋体"/>
          <w:color w:val="auto"/>
          <w:kern w:val="0"/>
          <w:szCs w:val="21"/>
          <w:highlight w:val="none"/>
        </w:rPr>
        <w:t xml:space="preserve">                  </w:t>
      </w:r>
      <w:r>
        <w:rPr>
          <w:rFonts w:hint="eastAsia" w:ascii="宋体" w:hAnsi="宋体"/>
          <w:color w:val="auto"/>
          <w:kern w:val="0"/>
          <w:szCs w:val="21"/>
          <w:highlight w:val="none"/>
          <w:lang w:val="en-US" w:eastAsia="zh-CN"/>
        </w:rPr>
        <w:t xml:space="preserve">  </w:t>
      </w:r>
      <w:r>
        <w:rPr>
          <w:rFonts w:hint="eastAsia" w:ascii="宋体" w:hAnsi="宋体"/>
          <w:color w:val="auto"/>
          <w:kern w:val="0"/>
          <w:szCs w:val="21"/>
          <w:highlight w:val="none"/>
        </w:rPr>
        <w:t xml:space="preserve"> 中建科工集团</w:t>
      </w:r>
      <w:r>
        <w:rPr>
          <w:rFonts w:hint="eastAsia" w:ascii="宋体" w:hAnsi="宋体"/>
          <w:color w:val="auto"/>
          <w:kern w:val="0"/>
          <w:szCs w:val="21"/>
          <w:highlight w:val="none"/>
          <w:lang w:eastAsia="zh-CN"/>
        </w:rPr>
        <w:t>（</w:t>
      </w:r>
      <w:r>
        <w:rPr>
          <w:rFonts w:hint="eastAsia" w:ascii="宋体" w:hAnsi="宋体"/>
          <w:color w:val="auto"/>
          <w:kern w:val="0"/>
          <w:szCs w:val="21"/>
          <w:highlight w:val="none"/>
        </w:rPr>
        <w:t>上海</w:t>
      </w:r>
      <w:r>
        <w:rPr>
          <w:rFonts w:hint="eastAsia" w:ascii="宋体" w:hAnsi="宋体"/>
          <w:color w:val="auto"/>
          <w:kern w:val="0"/>
          <w:szCs w:val="21"/>
          <w:highlight w:val="none"/>
          <w:lang w:eastAsia="zh-CN"/>
        </w:rPr>
        <w:t>）</w:t>
      </w:r>
      <w:r>
        <w:rPr>
          <w:rFonts w:hint="eastAsia" w:ascii="宋体" w:hAnsi="宋体"/>
          <w:color w:val="auto"/>
          <w:kern w:val="0"/>
          <w:szCs w:val="21"/>
          <w:highlight w:val="none"/>
        </w:rPr>
        <w:t>建设有限公司</w:t>
      </w:r>
    </w:p>
    <w:p>
      <w:pPr>
        <w:ind w:firstLine="340" w:firstLineChars="155"/>
        <w:jc w:val="left"/>
        <w:rPr>
          <w:rFonts w:hint="eastAsia" w:ascii="宋体" w:hAnsi="宋体"/>
          <w:color w:val="auto"/>
          <w:kern w:val="0"/>
          <w:szCs w:val="21"/>
          <w:highlight w:val="none"/>
        </w:rPr>
      </w:pPr>
      <w:r>
        <w:rPr>
          <w:rFonts w:hint="eastAsia" w:ascii="宋体" w:hAnsi="宋体"/>
          <w:color w:val="auto"/>
          <w:kern w:val="0"/>
          <w:szCs w:val="21"/>
          <w:highlight w:val="none"/>
        </w:rPr>
        <w:t xml:space="preserve">                  </w:t>
      </w:r>
      <w:r>
        <w:rPr>
          <w:rFonts w:hint="eastAsia" w:ascii="宋体" w:hAnsi="宋体"/>
          <w:color w:val="auto"/>
          <w:kern w:val="0"/>
          <w:szCs w:val="21"/>
          <w:highlight w:val="none"/>
          <w:lang w:val="en-US" w:eastAsia="zh-CN"/>
        </w:rPr>
        <w:t xml:space="preserve">  </w:t>
      </w:r>
      <w:r>
        <w:rPr>
          <w:rFonts w:hint="eastAsia" w:ascii="宋体" w:hAnsi="宋体"/>
          <w:color w:val="auto"/>
          <w:kern w:val="0"/>
          <w:szCs w:val="21"/>
          <w:highlight w:val="none"/>
        </w:rPr>
        <w:t xml:space="preserve"> 中建科工集团有限公司</w:t>
      </w:r>
    </w:p>
    <w:p>
      <w:pPr>
        <w:ind w:firstLine="340" w:firstLineChars="155"/>
        <w:jc w:val="left"/>
        <w:rPr>
          <w:rFonts w:hint="eastAsia" w:ascii="宋体" w:hAnsi="宋体"/>
          <w:color w:val="auto"/>
          <w:kern w:val="0"/>
          <w:szCs w:val="21"/>
          <w:highlight w:val="none"/>
        </w:rPr>
      </w:pPr>
      <w:r>
        <w:rPr>
          <w:rFonts w:hint="eastAsia" w:ascii="宋体" w:hAnsi="宋体"/>
          <w:color w:val="auto"/>
          <w:kern w:val="0"/>
          <w:szCs w:val="21"/>
          <w:highlight w:val="none"/>
        </w:rPr>
        <w:t xml:space="preserve">                </w:t>
      </w:r>
      <w:r>
        <w:rPr>
          <w:rFonts w:hint="eastAsia" w:ascii="宋体" w:hAnsi="宋体"/>
          <w:color w:val="auto"/>
          <w:kern w:val="0"/>
          <w:szCs w:val="21"/>
          <w:highlight w:val="none"/>
          <w:lang w:val="en-US" w:eastAsia="zh-CN"/>
        </w:rPr>
        <w:t xml:space="preserve">  </w:t>
      </w:r>
      <w:r>
        <w:rPr>
          <w:rFonts w:hint="eastAsia" w:ascii="宋体" w:hAnsi="宋体"/>
          <w:color w:val="auto"/>
          <w:kern w:val="0"/>
          <w:szCs w:val="21"/>
          <w:highlight w:val="none"/>
        </w:rPr>
        <w:t xml:space="preserve">   中国建筑第八工程局有限公司上海分公司</w:t>
      </w:r>
    </w:p>
    <w:p>
      <w:pPr>
        <w:ind w:firstLine="340" w:firstLineChars="155"/>
        <w:jc w:val="left"/>
        <w:rPr>
          <w:rFonts w:hint="eastAsia" w:ascii="宋体" w:hAnsi="宋体"/>
          <w:color w:val="auto"/>
          <w:kern w:val="0"/>
          <w:szCs w:val="21"/>
          <w:highlight w:val="none"/>
        </w:rPr>
      </w:pPr>
      <w:r>
        <w:rPr>
          <w:rFonts w:hint="eastAsia" w:ascii="宋体" w:hAnsi="宋体"/>
          <w:color w:val="auto"/>
          <w:kern w:val="0"/>
          <w:szCs w:val="21"/>
          <w:highlight w:val="none"/>
        </w:rPr>
        <w:t xml:space="preserve">                   </w:t>
      </w:r>
      <w:r>
        <w:rPr>
          <w:rFonts w:hint="eastAsia" w:ascii="宋体" w:hAnsi="宋体"/>
          <w:color w:val="auto"/>
          <w:kern w:val="0"/>
          <w:szCs w:val="21"/>
          <w:highlight w:val="none"/>
          <w:lang w:val="en-US" w:eastAsia="zh-CN"/>
        </w:rPr>
        <w:t xml:space="preserve">  </w:t>
      </w:r>
      <w:r>
        <w:rPr>
          <w:rFonts w:hint="eastAsia" w:ascii="宋体" w:hAnsi="宋体"/>
          <w:color w:val="auto"/>
          <w:kern w:val="0"/>
          <w:szCs w:val="21"/>
          <w:highlight w:val="none"/>
        </w:rPr>
        <w:t>中冶建筑研究总院有限公司</w:t>
      </w:r>
    </w:p>
    <w:p>
      <w:pPr>
        <w:ind w:firstLine="340" w:firstLineChars="155"/>
        <w:jc w:val="left"/>
        <w:rPr>
          <w:rFonts w:hint="eastAsia" w:ascii="宋体" w:hAnsi="宋体"/>
          <w:color w:val="auto"/>
          <w:kern w:val="0"/>
          <w:szCs w:val="21"/>
          <w:highlight w:val="none"/>
        </w:rPr>
      </w:pPr>
      <w:r>
        <w:rPr>
          <w:rFonts w:hint="eastAsia" w:ascii="宋体" w:hAnsi="宋体"/>
          <w:color w:val="auto"/>
          <w:kern w:val="0"/>
          <w:szCs w:val="21"/>
          <w:highlight w:val="none"/>
        </w:rPr>
        <w:t xml:space="preserve">                   </w:t>
      </w:r>
      <w:r>
        <w:rPr>
          <w:rFonts w:hint="eastAsia" w:ascii="宋体" w:hAnsi="宋体"/>
          <w:color w:val="auto"/>
          <w:kern w:val="0"/>
          <w:szCs w:val="21"/>
          <w:highlight w:val="none"/>
          <w:lang w:val="en-US" w:eastAsia="zh-CN"/>
        </w:rPr>
        <w:t xml:space="preserve">  </w:t>
      </w:r>
      <w:r>
        <w:rPr>
          <w:rFonts w:hint="eastAsia" w:ascii="宋体" w:hAnsi="宋体"/>
          <w:color w:val="auto"/>
          <w:kern w:val="0"/>
          <w:szCs w:val="21"/>
          <w:highlight w:val="none"/>
        </w:rPr>
        <w:t>中国建筑标准设计研究院有限公司</w:t>
      </w:r>
    </w:p>
    <w:p>
      <w:pPr>
        <w:ind w:firstLine="340" w:firstLineChars="155"/>
        <w:jc w:val="left"/>
        <w:rPr>
          <w:rFonts w:hint="eastAsia" w:ascii="宋体" w:hAnsi="宋体"/>
          <w:color w:val="auto"/>
          <w:kern w:val="0"/>
          <w:szCs w:val="21"/>
          <w:highlight w:val="none"/>
        </w:rPr>
      </w:pPr>
      <w:r>
        <w:rPr>
          <w:rFonts w:hint="eastAsia" w:ascii="宋体" w:hAnsi="宋体"/>
          <w:color w:val="auto"/>
          <w:kern w:val="0"/>
          <w:szCs w:val="21"/>
          <w:highlight w:val="none"/>
        </w:rPr>
        <w:t xml:space="preserve">                  </w:t>
      </w:r>
      <w:r>
        <w:rPr>
          <w:rFonts w:hint="eastAsia" w:ascii="宋体" w:hAnsi="宋体"/>
          <w:color w:val="auto"/>
          <w:kern w:val="0"/>
          <w:szCs w:val="21"/>
          <w:highlight w:val="none"/>
          <w:lang w:val="en-US" w:eastAsia="zh-CN"/>
        </w:rPr>
        <w:t xml:space="preserve">  </w:t>
      </w:r>
      <w:r>
        <w:rPr>
          <w:rFonts w:hint="eastAsia" w:ascii="宋体" w:hAnsi="宋体"/>
          <w:color w:val="auto"/>
          <w:kern w:val="0"/>
          <w:szCs w:val="21"/>
          <w:highlight w:val="none"/>
        </w:rPr>
        <w:t xml:space="preserve"> 中国建筑上海设计研究院有限公司</w:t>
      </w:r>
    </w:p>
    <w:p>
      <w:pPr>
        <w:ind w:firstLine="340" w:firstLineChars="155"/>
        <w:jc w:val="left"/>
        <w:rPr>
          <w:rFonts w:hint="eastAsia" w:ascii="宋体" w:hAnsi="宋体"/>
          <w:color w:val="auto"/>
          <w:kern w:val="0"/>
          <w:szCs w:val="21"/>
          <w:highlight w:val="none"/>
        </w:rPr>
      </w:pPr>
      <w:r>
        <w:rPr>
          <w:rFonts w:hint="eastAsia" w:ascii="宋体" w:hAnsi="宋体"/>
          <w:color w:val="auto"/>
          <w:kern w:val="0"/>
          <w:szCs w:val="21"/>
          <w:highlight w:val="none"/>
        </w:rPr>
        <w:t xml:space="preserve">                 </w:t>
      </w:r>
      <w:r>
        <w:rPr>
          <w:rFonts w:hint="eastAsia" w:ascii="宋体" w:hAnsi="宋体"/>
          <w:color w:val="auto"/>
          <w:kern w:val="0"/>
          <w:szCs w:val="21"/>
          <w:highlight w:val="none"/>
          <w:lang w:val="en-US" w:eastAsia="zh-CN"/>
        </w:rPr>
        <w:t xml:space="preserve">  </w:t>
      </w:r>
      <w:r>
        <w:rPr>
          <w:rFonts w:hint="eastAsia" w:ascii="宋体" w:hAnsi="宋体"/>
          <w:color w:val="auto"/>
          <w:kern w:val="0"/>
          <w:szCs w:val="21"/>
          <w:highlight w:val="none"/>
        </w:rPr>
        <w:t xml:space="preserve">  中海建筑有限公司</w:t>
      </w:r>
    </w:p>
    <w:p>
      <w:pPr>
        <w:ind w:firstLine="340" w:firstLineChars="155"/>
        <w:jc w:val="left"/>
        <w:rPr>
          <w:rFonts w:hint="eastAsia" w:ascii="宋体" w:hAnsi="宋体"/>
          <w:color w:val="auto"/>
          <w:kern w:val="0"/>
          <w:szCs w:val="21"/>
          <w:highlight w:val="none"/>
        </w:rPr>
      </w:pPr>
      <w:r>
        <w:rPr>
          <w:rFonts w:hint="eastAsia" w:ascii="宋体" w:hAnsi="宋体"/>
          <w:color w:val="auto"/>
          <w:kern w:val="0"/>
          <w:szCs w:val="21"/>
          <w:highlight w:val="none"/>
        </w:rPr>
        <w:t xml:space="preserve">                 </w:t>
      </w:r>
      <w:r>
        <w:rPr>
          <w:rFonts w:hint="eastAsia" w:ascii="宋体" w:hAnsi="宋体"/>
          <w:color w:val="auto"/>
          <w:kern w:val="0"/>
          <w:szCs w:val="21"/>
          <w:highlight w:val="none"/>
          <w:lang w:val="en-US" w:eastAsia="zh-CN"/>
        </w:rPr>
        <w:t xml:space="preserve">  </w:t>
      </w:r>
      <w:r>
        <w:rPr>
          <w:rFonts w:hint="eastAsia" w:ascii="宋体" w:hAnsi="宋体"/>
          <w:color w:val="auto"/>
          <w:kern w:val="0"/>
          <w:szCs w:val="21"/>
          <w:highlight w:val="none"/>
        </w:rPr>
        <w:t xml:space="preserve">  上海同济绿建土建结构预制装配化工程技术有限公司</w:t>
      </w:r>
    </w:p>
    <w:p>
      <w:pPr>
        <w:ind w:firstLine="340" w:firstLineChars="155"/>
        <w:jc w:val="left"/>
        <w:rPr>
          <w:rFonts w:hint="eastAsia" w:ascii="宋体" w:hAnsi="宋体"/>
          <w:color w:val="auto"/>
          <w:szCs w:val="21"/>
          <w:highlight w:val="none"/>
        </w:rPr>
      </w:pPr>
      <w:r>
        <w:rPr>
          <w:rFonts w:hint="eastAsia" w:ascii="宋体" w:hAnsi="宋体"/>
          <w:color w:val="auto"/>
          <w:kern w:val="0"/>
          <w:szCs w:val="21"/>
          <w:highlight w:val="none"/>
        </w:rPr>
        <w:t xml:space="preserve">                  </w:t>
      </w:r>
      <w:r>
        <w:rPr>
          <w:rFonts w:hint="eastAsia" w:ascii="宋体" w:hAnsi="宋体"/>
          <w:color w:val="auto"/>
          <w:kern w:val="0"/>
          <w:szCs w:val="21"/>
          <w:highlight w:val="none"/>
          <w:lang w:val="en-US" w:eastAsia="zh-CN"/>
        </w:rPr>
        <w:t xml:space="preserve">  </w:t>
      </w:r>
      <w:r>
        <w:rPr>
          <w:rFonts w:hint="eastAsia" w:ascii="宋体" w:hAnsi="宋体"/>
          <w:color w:val="auto"/>
          <w:kern w:val="0"/>
          <w:szCs w:val="21"/>
          <w:highlight w:val="none"/>
        </w:rPr>
        <w:t xml:space="preserve"> </w:t>
      </w:r>
      <w:r>
        <w:rPr>
          <w:rFonts w:hint="eastAsia" w:ascii="宋体" w:hAnsi="宋体"/>
          <w:color w:val="auto"/>
          <w:szCs w:val="21"/>
          <w:highlight w:val="none"/>
        </w:rPr>
        <w:t>中建科技集团华东有限公司</w:t>
      </w:r>
    </w:p>
    <w:p>
      <w:pPr>
        <w:ind w:firstLine="340" w:firstLineChars="155"/>
        <w:jc w:val="left"/>
        <w:rPr>
          <w:rFonts w:hint="eastAsia" w:ascii="宋体" w:hAnsi="宋体" w:cs="宋体"/>
          <w:color w:val="auto"/>
          <w:kern w:val="0"/>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 xml:space="preserve"> </w:t>
      </w:r>
      <w:r>
        <w:rPr>
          <w:rFonts w:hint="eastAsia" w:ascii="宋体" w:hAnsi="宋体" w:cs="宋体"/>
          <w:color w:val="auto"/>
          <w:kern w:val="0"/>
          <w:szCs w:val="21"/>
          <w:highlight w:val="none"/>
        </w:rPr>
        <w:t>中交浚浦建筑科技（上海）有限公司</w:t>
      </w:r>
    </w:p>
    <w:p>
      <w:pPr>
        <w:ind w:firstLine="340" w:firstLineChars="155"/>
        <w:jc w:val="left"/>
        <w:rPr>
          <w:rFonts w:cs="等线"/>
          <w:color w:val="auto"/>
          <w:kern w:val="0"/>
          <w:highlight w:val="none"/>
        </w:rPr>
      </w:pPr>
      <w:r>
        <w:rPr>
          <w:rFonts w:hint="eastAsia" w:ascii="宋体" w:hAnsi="宋体" w:cs="宋体"/>
          <w:color w:val="auto"/>
          <w:kern w:val="0"/>
          <w:szCs w:val="21"/>
          <w:highlight w:val="none"/>
        </w:rPr>
        <w:t xml:space="preserve">                   </w:t>
      </w:r>
      <w:r>
        <w:rPr>
          <w:rFonts w:hint="eastAsia" w:ascii="宋体" w:hAnsi="宋体" w:cs="宋体"/>
          <w:color w:val="auto"/>
          <w:kern w:val="0"/>
          <w:szCs w:val="21"/>
          <w:highlight w:val="none"/>
          <w:lang w:val="en-US" w:eastAsia="zh-CN"/>
        </w:rPr>
        <w:t xml:space="preserve">  </w:t>
      </w:r>
      <w:r>
        <w:rPr>
          <w:rFonts w:hint="eastAsia" w:cs="等线"/>
          <w:color w:val="auto"/>
          <w:kern w:val="0"/>
          <w:highlight w:val="none"/>
        </w:rPr>
        <w:t>（以上排名不分先后）</w:t>
      </w:r>
    </w:p>
    <w:p>
      <w:pPr>
        <w:ind w:firstLine="464" w:firstLineChars="200"/>
        <w:jc w:val="left"/>
        <w:rPr>
          <w:rFonts w:hint="eastAsia" w:ascii="宋体" w:hAnsi="宋体"/>
          <w:color w:val="auto"/>
          <w:kern w:val="0"/>
          <w:szCs w:val="21"/>
          <w:highlight w:val="none"/>
        </w:rPr>
      </w:pPr>
      <w:r>
        <w:rPr>
          <w:rFonts w:hint="eastAsia" w:cs="等线"/>
          <w:b/>
          <w:bCs/>
          <w:spacing w:val="6"/>
          <w:kern w:val="0"/>
          <w:sz w:val="21"/>
          <w:szCs w:val="22"/>
          <w:highlight w:val="none"/>
          <w:fitText w:val="2210" w:id="-1417681950"/>
          <w:lang w:eastAsia="zh-CN"/>
        </w:rPr>
        <w:t>本导则</w:t>
      </w:r>
      <w:r>
        <w:rPr>
          <w:rFonts w:hint="eastAsia" w:eastAsia="宋体" w:cs="等线"/>
          <w:b/>
          <w:bCs/>
          <w:spacing w:val="6"/>
          <w:kern w:val="0"/>
          <w:sz w:val="21"/>
          <w:szCs w:val="22"/>
          <w:highlight w:val="none"/>
          <w:fitText w:val="2210" w:id="-1417681950"/>
        </w:rPr>
        <w:t>主要起草人员</w:t>
      </w:r>
      <w:r>
        <w:rPr>
          <w:rFonts w:hint="eastAsia" w:eastAsia="宋体" w:cs="等线"/>
          <w:b/>
          <w:bCs/>
          <w:spacing w:val="1"/>
          <w:kern w:val="0"/>
          <w:sz w:val="21"/>
          <w:szCs w:val="22"/>
          <w:highlight w:val="none"/>
          <w:fitText w:val="2210" w:id="-1417681950"/>
        </w:rPr>
        <w:t>：</w:t>
      </w:r>
      <w:r>
        <w:rPr>
          <w:rFonts w:hint="eastAsia" w:ascii="宋体" w:hAnsi="宋体"/>
          <w:color w:val="auto"/>
          <w:kern w:val="0"/>
          <w:szCs w:val="21"/>
          <w:highlight w:val="none"/>
        </w:rPr>
        <w:t>李国强   赵宝军   张正洪   王彦博   陈  琛</w:t>
      </w:r>
    </w:p>
    <w:p>
      <w:pPr>
        <w:ind w:firstLine="2640" w:firstLineChars="1200"/>
        <w:jc w:val="left"/>
        <w:rPr>
          <w:rFonts w:hint="eastAsia" w:ascii="宋体" w:hAnsi="宋体"/>
          <w:color w:val="auto"/>
          <w:kern w:val="0"/>
          <w:szCs w:val="21"/>
          <w:highlight w:val="none"/>
        </w:rPr>
      </w:pPr>
      <w:r>
        <w:rPr>
          <w:rFonts w:hint="eastAsia" w:ascii="宋体" w:hAnsi="宋体"/>
          <w:color w:val="auto"/>
          <w:kern w:val="0"/>
          <w:szCs w:val="21"/>
          <w:highlight w:val="none"/>
        </w:rPr>
        <w:t xml:space="preserve">相  阳   王  琼   宋向宁   </w:t>
      </w:r>
      <w:r>
        <w:rPr>
          <w:rFonts w:hint="eastAsia" w:ascii="宋体" w:hAnsi="宋体"/>
          <w:color w:val="auto"/>
          <w:kern w:val="0"/>
          <w:szCs w:val="21"/>
          <w:highlight w:val="none"/>
          <w:lang w:val="en-US" w:eastAsia="zh-CN"/>
        </w:rPr>
        <w:t xml:space="preserve">吴  明   </w:t>
      </w:r>
      <w:r>
        <w:rPr>
          <w:rFonts w:hint="eastAsia" w:ascii="宋体" w:hAnsi="宋体"/>
          <w:color w:val="auto"/>
          <w:kern w:val="0"/>
          <w:szCs w:val="21"/>
          <w:highlight w:val="none"/>
        </w:rPr>
        <w:t>韩</w:t>
      </w:r>
      <w:r>
        <w:rPr>
          <w:rFonts w:hint="eastAsia" w:ascii="宋体" w:hAnsi="宋体"/>
          <w:color w:val="auto"/>
          <w:kern w:val="0"/>
          <w:szCs w:val="21"/>
          <w:highlight w:val="none"/>
          <w:lang w:val="en-US" w:eastAsia="zh-CN"/>
        </w:rPr>
        <w:t xml:space="preserve">  </w:t>
      </w:r>
      <w:r>
        <w:rPr>
          <w:rFonts w:hint="eastAsia" w:ascii="宋体" w:hAnsi="宋体"/>
          <w:color w:val="auto"/>
          <w:kern w:val="0"/>
          <w:szCs w:val="21"/>
          <w:highlight w:val="none"/>
        </w:rPr>
        <w:t>璐</w:t>
      </w:r>
    </w:p>
    <w:p>
      <w:pPr>
        <w:ind w:firstLine="2640" w:firstLineChars="1200"/>
        <w:jc w:val="left"/>
        <w:rPr>
          <w:rFonts w:hint="eastAsia" w:ascii="宋体" w:hAnsi="宋体"/>
          <w:color w:val="auto"/>
          <w:kern w:val="0"/>
          <w:szCs w:val="21"/>
          <w:highlight w:val="none"/>
        </w:rPr>
      </w:pPr>
      <w:r>
        <w:rPr>
          <w:rFonts w:hint="eastAsia" w:ascii="宋体" w:hAnsi="宋体"/>
          <w:color w:val="auto"/>
          <w:kern w:val="0"/>
          <w:szCs w:val="21"/>
          <w:highlight w:val="none"/>
        </w:rPr>
        <w:t>周尔旦</w:t>
      </w:r>
      <w:r>
        <w:rPr>
          <w:rFonts w:hint="eastAsia" w:ascii="宋体" w:hAnsi="宋体"/>
          <w:color w:val="auto"/>
          <w:kern w:val="0"/>
          <w:szCs w:val="21"/>
          <w:highlight w:val="none"/>
          <w:lang w:val="en-US" w:eastAsia="zh-CN"/>
        </w:rPr>
        <w:t xml:space="preserve">   </w:t>
      </w:r>
      <w:r>
        <w:rPr>
          <w:rFonts w:hint="eastAsia" w:ascii="宋体" w:hAnsi="宋体"/>
          <w:color w:val="auto"/>
          <w:kern w:val="0"/>
          <w:szCs w:val="21"/>
          <w:highlight w:val="none"/>
        </w:rPr>
        <w:t>刘砚文</w:t>
      </w:r>
      <w:r>
        <w:rPr>
          <w:rFonts w:hint="eastAsia" w:ascii="宋体" w:hAnsi="宋体"/>
          <w:color w:val="auto"/>
          <w:kern w:val="0"/>
          <w:szCs w:val="21"/>
          <w:highlight w:val="none"/>
          <w:lang w:val="en-US" w:eastAsia="zh-CN"/>
        </w:rPr>
        <w:t xml:space="preserve">   </w:t>
      </w:r>
      <w:r>
        <w:rPr>
          <w:rFonts w:hint="eastAsia" w:ascii="宋体" w:hAnsi="宋体"/>
          <w:color w:val="auto"/>
          <w:kern w:val="0"/>
          <w:szCs w:val="21"/>
          <w:highlight w:val="none"/>
        </w:rPr>
        <w:t>束文辉   刘  琛   陈玲珠</w:t>
      </w:r>
    </w:p>
    <w:p>
      <w:pPr>
        <w:ind w:firstLine="2640" w:firstLineChars="1200"/>
        <w:jc w:val="left"/>
        <w:rPr>
          <w:rFonts w:hint="eastAsia" w:ascii="宋体" w:hAnsi="宋体"/>
          <w:color w:val="auto"/>
          <w:kern w:val="0"/>
          <w:szCs w:val="21"/>
          <w:highlight w:val="none"/>
        </w:rPr>
      </w:pPr>
      <w:r>
        <w:rPr>
          <w:rFonts w:hint="eastAsia" w:ascii="宋体" w:hAnsi="宋体"/>
          <w:color w:val="auto"/>
          <w:kern w:val="0"/>
          <w:szCs w:val="21"/>
          <w:highlight w:val="none"/>
        </w:rPr>
        <w:t>肖  顺   夏  冰   王平山   何天森   陈  晨</w:t>
      </w:r>
    </w:p>
    <w:p>
      <w:pPr>
        <w:ind w:firstLine="2640" w:firstLineChars="1200"/>
        <w:jc w:val="left"/>
        <w:rPr>
          <w:rFonts w:hint="eastAsia" w:ascii="宋体" w:hAnsi="宋体"/>
          <w:color w:val="auto"/>
          <w:kern w:val="0"/>
          <w:szCs w:val="21"/>
          <w:highlight w:val="none"/>
        </w:rPr>
      </w:pPr>
      <w:r>
        <w:rPr>
          <w:rFonts w:hint="eastAsia" w:ascii="宋体" w:hAnsi="宋体"/>
          <w:color w:val="auto"/>
          <w:kern w:val="0"/>
          <w:szCs w:val="21"/>
          <w:highlight w:val="none"/>
        </w:rPr>
        <w:t>丁  曙   冯志涛   邢振华   徐  磊   张忆州</w:t>
      </w:r>
    </w:p>
    <w:p>
      <w:pPr>
        <w:ind w:firstLine="2640" w:firstLineChars="1200"/>
        <w:jc w:val="left"/>
        <w:rPr>
          <w:rFonts w:hint="eastAsia" w:ascii="宋体" w:hAnsi="宋体"/>
          <w:color w:val="auto"/>
          <w:kern w:val="0"/>
          <w:szCs w:val="21"/>
          <w:highlight w:val="none"/>
        </w:rPr>
      </w:pPr>
      <w:r>
        <w:rPr>
          <w:rFonts w:hint="eastAsia" w:ascii="宋体" w:hAnsi="宋体"/>
          <w:color w:val="auto"/>
          <w:kern w:val="0"/>
          <w:szCs w:val="21"/>
          <w:highlight w:val="none"/>
        </w:rPr>
        <w:t>成能名</w:t>
      </w:r>
      <w:r>
        <w:rPr>
          <w:rFonts w:hint="eastAsia" w:ascii="宋体" w:hAnsi="宋体"/>
          <w:color w:val="auto"/>
          <w:kern w:val="0"/>
          <w:szCs w:val="21"/>
          <w:highlight w:val="none"/>
          <w:lang w:val="en-US" w:eastAsia="zh-CN"/>
        </w:rPr>
        <w:t xml:space="preserve">   </w:t>
      </w:r>
      <w:r>
        <w:rPr>
          <w:rFonts w:hint="eastAsia" w:ascii="宋体" w:hAnsi="宋体"/>
          <w:color w:val="auto"/>
          <w:kern w:val="0"/>
          <w:szCs w:val="21"/>
          <w:highlight w:val="none"/>
        </w:rPr>
        <w:t>张耀林</w:t>
      </w:r>
      <w:r>
        <w:rPr>
          <w:rFonts w:hint="eastAsia" w:ascii="宋体" w:hAnsi="宋体"/>
          <w:color w:val="auto"/>
          <w:kern w:val="0"/>
          <w:szCs w:val="21"/>
          <w:highlight w:val="none"/>
          <w:lang w:val="en-US" w:eastAsia="zh-CN"/>
        </w:rPr>
        <w:t xml:space="preserve">   </w:t>
      </w:r>
      <w:r>
        <w:rPr>
          <w:rFonts w:hint="eastAsia" w:ascii="宋体" w:hAnsi="宋体"/>
          <w:color w:val="auto"/>
          <w:kern w:val="0"/>
          <w:szCs w:val="21"/>
          <w:highlight w:val="none"/>
        </w:rPr>
        <w:t>常明媛</w:t>
      </w:r>
      <w:r>
        <w:rPr>
          <w:rFonts w:hint="eastAsia" w:ascii="宋体" w:hAnsi="宋体"/>
          <w:color w:val="auto"/>
          <w:kern w:val="0"/>
          <w:szCs w:val="21"/>
          <w:highlight w:val="none"/>
          <w:lang w:val="en-US" w:eastAsia="zh-CN"/>
        </w:rPr>
        <w:t xml:space="preserve">   </w:t>
      </w:r>
      <w:r>
        <w:rPr>
          <w:rFonts w:hint="eastAsia" w:ascii="宋体" w:hAnsi="宋体"/>
          <w:color w:val="auto"/>
          <w:kern w:val="0"/>
          <w:szCs w:val="21"/>
          <w:highlight w:val="none"/>
        </w:rPr>
        <w:t>李可军   李  响</w:t>
      </w:r>
    </w:p>
    <w:p>
      <w:pPr>
        <w:ind w:firstLine="2640" w:firstLineChars="1200"/>
        <w:jc w:val="left"/>
        <w:rPr>
          <w:rFonts w:hint="eastAsia" w:ascii="宋体" w:hAnsi="宋体"/>
          <w:color w:val="auto"/>
          <w:kern w:val="0"/>
          <w:szCs w:val="21"/>
          <w:highlight w:val="none"/>
        </w:rPr>
      </w:pPr>
      <w:r>
        <w:rPr>
          <w:rFonts w:hint="eastAsia" w:ascii="宋体" w:hAnsi="宋体"/>
          <w:color w:val="auto"/>
          <w:kern w:val="0"/>
          <w:szCs w:val="21"/>
          <w:highlight w:val="none"/>
        </w:rPr>
        <w:t>张士前   侯兆新   龚  超   高晓明   张  宏</w:t>
      </w:r>
    </w:p>
    <w:p>
      <w:pPr>
        <w:ind w:firstLine="2640" w:firstLineChars="1200"/>
        <w:jc w:val="left"/>
        <w:rPr>
          <w:rFonts w:hint="eastAsia" w:ascii="宋体" w:hAnsi="宋体"/>
          <w:color w:val="auto"/>
          <w:kern w:val="0"/>
          <w:szCs w:val="21"/>
          <w:highlight w:val="none"/>
        </w:rPr>
      </w:pPr>
      <w:r>
        <w:rPr>
          <w:rFonts w:hint="eastAsia" w:ascii="宋体" w:hAnsi="宋体"/>
          <w:color w:val="auto"/>
          <w:kern w:val="0"/>
          <w:szCs w:val="21"/>
          <w:highlight w:val="none"/>
        </w:rPr>
        <w:t>郑  敦   刘  永   林  可   刘  青   罗海林</w:t>
      </w:r>
    </w:p>
    <w:p>
      <w:pPr>
        <w:ind w:firstLine="2640" w:firstLineChars="1200"/>
        <w:jc w:val="left"/>
        <w:rPr>
          <w:rFonts w:hint="eastAsia" w:ascii="宋体" w:hAnsi="宋体" w:cs="等线"/>
          <w:color w:val="auto"/>
          <w:szCs w:val="21"/>
          <w:highlight w:val="none"/>
        </w:rPr>
      </w:pPr>
      <w:r>
        <w:rPr>
          <w:rFonts w:hint="eastAsia" w:ascii="宋体" w:hAnsi="宋体"/>
          <w:color w:val="auto"/>
          <w:kern w:val="0"/>
          <w:szCs w:val="21"/>
          <w:highlight w:val="none"/>
        </w:rPr>
        <w:t xml:space="preserve">孙小华   董  震   </w:t>
      </w:r>
      <w:r>
        <w:rPr>
          <w:rFonts w:hint="eastAsia" w:ascii="宋体" w:hAnsi="宋体" w:cs="宋体"/>
          <w:color w:val="auto"/>
          <w:kern w:val="0"/>
          <w:szCs w:val="21"/>
          <w:highlight w:val="none"/>
        </w:rPr>
        <w:t>常斯嘉   曹  可</w:t>
      </w:r>
      <w:r>
        <w:rPr>
          <w:rFonts w:hint="eastAsia"/>
          <w:color w:val="auto"/>
          <w:szCs w:val="21"/>
          <w:highlight w:val="none"/>
        </w:rPr>
        <w:t xml:space="preserve"> </w:t>
      </w:r>
      <w:r>
        <w:rPr>
          <w:rFonts w:hint="eastAsia" w:ascii="宋体" w:hAnsi="宋体"/>
          <w:color w:val="auto"/>
          <w:kern w:val="0"/>
          <w:szCs w:val="21"/>
          <w:highlight w:val="none"/>
        </w:rPr>
        <w:t xml:space="preserve">        </w:t>
      </w:r>
    </w:p>
    <w:p>
      <w:pPr>
        <w:ind w:firstLine="440" w:firstLineChars="200"/>
        <w:jc w:val="left"/>
        <w:rPr>
          <w:rFonts w:hint="eastAsia" w:ascii="宋体" w:hAnsi="宋体"/>
          <w:color w:val="auto"/>
          <w:kern w:val="0"/>
          <w:szCs w:val="21"/>
          <w:highlight w:val="none"/>
        </w:rPr>
      </w:pPr>
      <w:r>
        <w:rPr>
          <w:rFonts w:hint="eastAsia" w:eastAsia="宋体" w:cs="等线"/>
          <w:b/>
          <w:bCs/>
          <w:spacing w:val="0"/>
          <w:kern w:val="0"/>
          <w:sz w:val="21"/>
          <w:szCs w:val="22"/>
          <w:highlight w:val="none"/>
          <w:fitText w:val="2210" w:id="-1417681950"/>
        </w:rPr>
        <w:t xml:space="preserve">本导则主要审查人员： </w:t>
      </w:r>
      <w:r>
        <w:rPr>
          <w:rFonts w:hint="eastAsia" w:ascii="宋体" w:hAnsi="宋体"/>
          <w:color w:val="auto"/>
          <w:kern w:val="0"/>
          <w:szCs w:val="21"/>
          <w:highlight w:val="none"/>
        </w:rPr>
        <w:t>栗  新   李伟兴   朱华军   恽燕春   曹一峰</w:t>
      </w:r>
    </w:p>
    <w:p>
      <w:pPr>
        <w:adjustRightInd w:val="0"/>
        <w:snapToGrid w:val="0"/>
        <w:jc w:val="left"/>
        <w:rPr>
          <w:rFonts w:hint="eastAsia" w:ascii="宋体" w:hAnsi="宋体"/>
          <w:color w:val="auto"/>
          <w:kern w:val="0"/>
          <w:szCs w:val="21"/>
          <w:highlight w:val="none"/>
        </w:rPr>
        <w:sectPr>
          <w:footerReference r:id="rId5" w:type="default"/>
          <w:footerReference r:id="rId6" w:type="even"/>
          <w:pgSz w:w="11906" w:h="16838"/>
          <w:pgMar w:top="1610" w:right="1349" w:bottom="1213" w:left="1293" w:header="851" w:footer="992" w:gutter="0"/>
          <w:pgNumType w:start="1"/>
          <w:cols w:space="720" w:num="1"/>
          <w:docGrid w:type="linesAndChars" w:linePitch="333" w:charSpace="2165"/>
        </w:sectPr>
      </w:pPr>
    </w:p>
    <w:p>
      <w:pPr>
        <w:adjustRightInd w:val="0"/>
        <w:snapToGrid w:val="0"/>
        <w:spacing w:before="360" w:after="360"/>
        <w:jc w:val="center"/>
        <w:rPr>
          <w:b/>
          <w:bCs/>
          <w:color w:val="auto"/>
          <w:sz w:val="28"/>
          <w:szCs w:val="32"/>
          <w:highlight w:val="none"/>
        </w:rPr>
      </w:pPr>
      <w:r>
        <w:rPr>
          <w:rFonts w:hint="eastAsia"/>
          <w:b/>
          <w:bCs/>
          <w:color w:val="auto"/>
          <w:sz w:val="28"/>
          <w:szCs w:val="32"/>
          <w:highlight w:val="none"/>
        </w:rPr>
        <w:t>目</w:t>
      </w:r>
      <w:r>
        <w:rPr>
          <w:b/>
          <w:bCs/>
          <w:color w:val="auto"/>
          <w:sz w:val="28"/>
          <w:szCs w:val="32"/>
          <w:highlight w:val="none"/>
        </w:rPr>
        <w:t xml:space="preserve">    </w:t>
      </w:r>
      <w:r>
        <w:rPr>
          <w:rFonts w:hint="eastAsia"/>
          <w:b/>
          <w:bCs/>
          <w:color w:val="auto"/>
          <w:sz w:val="28"/>
          <w:szCs w:val="32"/>
          <w:highlight w:val="none"/>
        </w:rPr>
        <w:t>次</w:t>
      </w:r>
    </w:p>
    <w:p>
      <w:pPr>
        <w:pStyle w:val="17"/>
        <w:tabs>
          <w:tab w:val="right" w:leader="dot" w:pos="9264"/>
          <w:tab w:val="clear" w:pos="1050"/>
          <w:tab w:val="clear" w:pos="13948"/>
        </w:tabs>
        <w:rPr>
          <w:color w:val="auto"/>
          <w:highlight w:val="none"/>
        </w:rPr>
      </w:pPr>
      <w:r>
        <w:rPr>
          <w:rFonts w:hint="eastAsia"/>
          <w:color w:val="auto"/>
          <w:highlight w:val="none"/>
        </w:rPr>
        <w:fldChar w:fldCharType="begin"/>
      </w:r>
      <w:r>
        <w:rPr>
          <w:rFonts w:hint="eastAsia"/>
          <w:color w:val="auto"/>
          <w:highlight w:val="none"/>
        </w:rPr>
        <w:instrText xml:space="preserve">TOC \o "1-2" \h \u </w:instrText>
      </w:r>
      <w:r>
        <w:rPr>
          <w:rFonts w:hint="eastAsia"/>
          <w:color w:val="auto"/>
          <w:highlight w:val="none"/>
        </w:rPr>
        <w:fldChar w:fldCharType="separate"/>
      </w:r>
      <w:r>
        <w:rPr>
          <w:color w:val="auto"/>
          <w:highlight w:val="none"/>
        </w:rPr>
        <w:fldChar w:fldCharType="begin"/>
      </w:r>
      <w:r>
        <w:rPr>
          <w:color w:val="auto"/>
          <w:highlight w:val="none"/>
        </w:rPr>
        <w:instrText xml:space="preserve"> HYPERLINK \l "_Toc18593" </w:instrText>
      </w:r>
      <w:r>
        <w:rPr>
          <w:color w:val="auto"/>
          <w:highlight w:val="none"/>
        </w:rPr>
        <w:fldChar w:fldCharType="separate"/>
      </w:r>
      <w:r>
        <w:rPr>
          <w:color w:val="auto"/>
          <w:highlight w:val="none"/>
        </w:rPr>
        <w:t>1  总则</w:t>
      </w:r>
      <w:r>
        <w:rPr>
          <w:color w:val="auto"/>
          <w:highlight w:val="none"/>
        </w:rPr>
        <w:tab/>
      </w:r>
      <w:r>
        <w:rPr>
          <w:color w:val="auto"/>
          <w:highlight w:val="none"/>
        </w:rPr>
        <w:fldChar w:fldCharType="begin"/>
      </w:r>
      <w:r>
        <w:rPr>
          <w:color w:val="auto"/>
          <w:highlight w:val="none"/>
        </w:rPr>
        <w:instrText xml:space="preserve"> PAGEREF _Toc18593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17"/>
        <w:tabs>
          <w:tab w:val="right" w:leader="dot" w:pos="9264"/>
          <w:tab w:val="clear" w:pos="1050"/>
          <w:tab w:val="clear" w:pos="13948"/>
        </w:tabs>
        <w:rPr>
          <w:color w:val="auto"/>
          <w:highlight w:val="none"/>
        </w:rPr>
      </w:pPr>
      <w:r>
        <w:rPr>
          <w:color w:val="auto"/>
          <w:highlight w:val="none"/>
        </w:rPr>
        <w:fldChar w:fldCharType="begin"/>
      </w:r>
      <w:r>
        <w:rPr>
          <w:color w:val="auto"/>
          <w:highlight w:val="none"/>
        </w:rPr>
        <w:instrText xml:space="preserve"> HYPERLINK \l "_Toc32076" </w:instrText>
      </w:r>
      <w:r>
        <w:rPr>
          <w:color w:val="auto"/>
          <w:highlight w:val="none"/>
        </w:rPr>
        <w:fldChar w:fldCharType="separate"/>
      </w:r>
      <w:r>
        <w:rPr>
          <w:color w:val="auto"/>
          <w:highlight w:val="none"/>
        </w:rPr>
        <w:t>2</w:t>
      </w:r>
      <w:r>
        <w:rPr>
          <w:rFonts w:hint="eastAsia"/>
          <w:color w:val="auto"/>
          <w:highlight w:val="none"/>
        </w:rPr>
        <w:t xml:space="preserve">  术语</w:t>
      </w:r>
      <w:r>
        <w:rPr>
          <w:color w:val="auto"/>
          <w:highlight w:val="none"/>
        </w:rPr>
        <w:tab/>
      </w:r>
      <w:r>
        <w:rPr>
          <w:color w:val="auto"/>
          <w:highlight w:val="none"/>
        </w:rPr>
        <w:fldChar w:fldCharType="begin"/>
      </w:r>
      <w:r>
        <w:rPr>
          <w:color w:val="auto"/>
          <w:highlight w:val="none"/>
        </w:rPr>
        <w:instrText xml:space="preserve"> PAGEREF _Toc32076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pPr>
        <w:pStyle w:val="17"/>
        <w:tabs>
          <w:tab w:val="right" w:leader="dot" w:pos="9264"/>
          <w:tab w:val="clear" w:pos="1050"/>
          <w:tab w:val="clear" w:pos="13948"/>
        </w:tabs>
        <w:rPr>
          <w:color w:val="auto"/>
          <w:highlight w:val="none"/>
        </w:rPr>
      </w:pPr>
      <w:r>
        <w:rPr>
          <w:color w:val="auto"/>
          <w:highlight w:val="none"/>
        </w:rPr>
        <w:fldChar w:fldCharType="begin"/>
      </w:r>
      <w:r>
        <w:rPr>
          <w:color w:val="auto"/>
          <w:highlight w:val="none"/>
        </w:rPr>
        <w:instrText xml:space="preserve"> HYPERLINK \l "_Toc16166" </w:instrText>
      </w:r>
      <w:r>
        <w:rPr>
          <w:color w:val="auto"/>
          <w:highlight w:val="none"/>
        </w:rPr>
        <w:fldChar w:fldCharType="separate"/>
      </w:r>
      <w:r>
        <w:rPr>
          <w:color w:val="auto"/>
          <w:highlight w:val="none"/>
        </w:rPr>
        <w:t>3</w:t>
      </w:r>
      <w:r>
        <w:rPr>
          <w:rFonts w:hint="eastAsia"/>
          <w:color w:val="auto"/>
          <w:highlight w:val="none"/>
        </w:rPr>
        <w:t xml:space="preserve">  项目策划</w:t>
      </w:r>
      <w:r>
        <w:rPr>
          <w:color w:val="auto"/>
          <w:highlight w:val="none"/>
        </w:rPr>
        <w:tab/>
      </w:r>
      <w:r>
        <w:rPr>
          <w:color w:val="auto"/>
          <w:highlight w:val="none"/>
        </w:rPr>
        <w:fldChar w:fldCharType="begin"/>
      </w:r>
      <w:r>
        <w:rPr>
          <w:color w:val="auto"/>
          <w:highlight w:val="none"/>
        </w:rPr>
        <w:instrText xml:space="preserve"> PAGEREF _Toc16166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20"/>
        <w:tabs>
          <w:tab w:val="right" w:leader="dot" w:pos="9264"/>
        </w:tabs>
        <w:ind w:left="441"/>
        <w:rPr>
          <w:color w:val="auto"/>
          <w:highlight w:val="none"/>
        </w:rPr>
      </w:pPr>
      <w:r>
        <w:rPr>
          <w:color w:val="auto"/>
          <w:highlight w:val="none"/>
        </w:rPr>
        <w:fldChar w:fldCharType="begin"/>
      </w:r>
      <w:r>
        <w:rPr>
          <w:color w:val="auto"/>
          <w:highlight w:val="none"/>
        </w:rPr>
        <w:instrText xml:space="preserve"> HYPERLINK \l "_Toc3572" </w:instrText>
      </w:r>
      <w:r>
        <w:rPr>
          <w:color w:val="auto"/>
          <w:highlight w:val="none"/>
        </w:rPr>
        <w:fldChar w:fldCharType="separate"/>
      </w:r>
      <w:r>
        <w:rPr>
          <w:rFonts w:hint="eastAsia"/>
          <w:color w:val="auto"/>
          <w:highlight w:val="none"/>
        </w:rPr>
        <w:t>3</w:t>
      </w:r>
      <w:r>
        <w:rPr>
          <w:rFonts w:hint="eastAsia" w:ascii="宋体" w:hAnsi="宋体"/>
          <w:color w:val="auto"/>
          <w:szCs w:val="21"/>
          <w:highlight w:val="none"/>
        </w:rPr>
        <w:t>.</w:t>
      </w:r>
      <w:r>
        <w:rPr>
          <w:color w:val="auto"/>
          <w:highlight w:val="none"/>
        </w:rPr>
        <w:t>1</w:t>
      </w:r>
      <w:r>
        <w:rPr>
          <w:rFonts w:hint="eastAsia"/>
          <w:color w:val="auto"/>
          <w:highlight w:val="none"/>
        </w:rPr>
        <w:t xml:space="preserve">  一般规定</w:t>
      </w:r>
      <w:r>
        <w:rPr>
          <w:color w:val="auto"/>
          <w:highlight w:val="none"/>
        </w:rPr>
        <w:tab/>
      </w:r>
      <w:r>
        <w:rPr>
          <w:color w:val="auto"/>
          <w:highlight w:val="none"/>
        </w:rPr>
        <w:fldChar w:fldCharType="begin"/>
      </w:r>
      <w:r>
        <w:rPr>
          <w:color w:val="auto"/>
          <w:highlight w:val="none"/>
        </w:rPr>
        <w:instrText xml:space="preserve"> PAGEREF _Toc3572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20"/>
        <w:tabs>
          <w:tab w:val="right" w:leader="dot" w:pos="9264"/>
        </w:tabs>
        <w:ind w:left="441"/>
        <w:rPr>
          <w:color w:val="auto"/>
          <w:highlight w:val="none"/>
        </w:rPr>
      </w:pPr>
      <w:r>
        <w:rPr>
          <w:color w:val="auto"/>
          <w:highlight w:val="none"/>
        </w:rPr>
        <w:fldChar w:fldCharType="begin"/>
      </w:r>
      <w:r>
        <w:rPr>
          <w:color w:val="auto"/>
          <w:highlight w:val="none"/>
        </w:rPr>
        <w:instrText xml:space="preserve"> HYPERLINK \l "_Toc2217" </w:instrText>
      </w:r>
      <w:r>
        <w:rPr>
          <w:color w:val="auto"/>
          <w:highlight w:val="none"/>
        </w:rPr>
        <w:fldChar w:fldCharType="separate"/>
      </w:r>
      <w:r>
        <w:rPr>
          <w:rFonts w:hint="eastAsia"/>
          <w:color w:val="auto"/>
          <w:highlight w:val="none"/>
        </w:rPr>
        <w:t>3</w:t>
      </w:r>
      <w:r>
        <w:rPr>
          <w:rFonts w:hint="eastAsia" w:ascii="宋体" w:hAnsi="宋体"/>
          <w:color w:val="auto"/>
          <w:szCs w:val="21"/>
          <w:highlight w:val="none"/>
        </w:rPr>
        <w:t>.</w:t>
      </w:r>
      <w:r>
        <w:rPr>
          <w:rFonts w:hint="eastAsia"/>
          <w:color w:val="auto"/>
          <w:highlight w:val="none"/>
        </w:rPr>
        <w:t>2  设计策划</w:t>
      </w:r>
      <w:r>
        <w:rPr>
          <w:color w:val="auto"/>
          <w:highlight w:val="none"/>
        </w:rPr>
        <w:tab/>
      </w:r>
      <w:r>
        <w:rPr>
          <w:color w:val="auto"/>
          <w:highlight w:val="none"/>
        </w:rPr>
        <w:fldChar w:fldCharType="begin"/>
      </w:r>
      <w:r>
        <w:rPr>
          <w:color w:val="auto"/>
          <w:highlight w:val="none"/>
        </w:rPr>
        <w:instrText xml:space="preserve"> PAGEREF _Toc2217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20"/>
        <w:tabs>
          <w:tab w:val="right" w:leader="dot" w:pos="9264"/>
        </w:tabs>
        <w:ind w:left="441"/>
        <w:rPr>
          <w:color w:val="auto"/>
          <w:highlight w:val="none"/>
        </w:rPr>
      </w:pPr>
      <w:r>
        <w:rPr>
          <w:color w:val="auto"/>
          <w:highlight w:val="none"/>
        </w:rPr>
        <w:fldChar w:fldCharType="begin"/>
      </w:r>
      <w:r>
        <w:rPr>
          <w:color w:val="auto"/>
          <w:highlight w:val="none"/>
        </w:rPr>
        <w:instrText xml:space="preserve"> HYPERLINK \l "_Toc13983" </w:instrText>
      </w:r>
      <w:r>
        <w:rPr>
          <w:color w:val="auto"/>
          <w:highlight w:val="none"/>
        </w:rPr>
        <w:fldChar w:fldCharType="separate"/>
      </w:r>
      <w:r>
        <w:rPr>
          <w:rFonts w:hint="eastAsia"/>
          <w:color w:val="auto"/>
          <w:highlight w:val="none"/>
        </w:rPr>
        <w:t>3</w:t>
      </w:r>
      <w:r>
        <w:rPr>
          <w:rFonts w:hint="eastAsia" w:ascii="宋体" w:hAnsi="宋体"/>
          <w:color w:val="auto"/>
          <w:szCs w:val="21"/>
          <w:highlight w:val="none"/>
        </w:rPr>
        <w:t>.</w:t>
      </w:r>
      <w:r>
        <w:rPr>
          <w:rFonts w:hint="eastAsia"/>
          <w:color w:val="auto"/>
          <w:highlight w:val="none"/>
        </w:rPr>
        <w:t>3  工厂制造与现场施工策划</w:t>
      </w:r>
      <w:r>
        <w:rPr>
          <w:color w:val="auto"/>
          <w:highlight w:val="none"/>
        </w:rPr>
        <w:tab/>
      </w:r>
      <w:r>
        <w:rPr>
          <w:color w:val="auto"/>
          <w:highlight w:val="none"/>
        </w:rPr>
        <w:fldChar w:fldCharType="begin"/>
      </w:r>
      <w:r>
        <w:rPr>
          <w:color w:val="auto"/>
          <w:highlight w:val="none"/>
        </w:rPr>
        <w:instrText xml:space="preserve"> PAGEREF _Toc13983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pPr>
        <w:pStyle w:val="17"/>
        <w:tabs>
          <w:tab w:val="right" w:leader="dot" w:pos="9264"/>
          <w:tab w:val="clear" w:pos="1050"/>
          <w:tab w:val="clear" w:pos="13948"/>
        </w:tabs>
        <w:rPr>
          <w:color w:val="auto"/>
          <w:highlight w:val="none"/>
        </w:rPr>
      </w:pPr>
      <w:r>
        <w:rPr>
          <w:color w:val="auto"/>
          <w:highlight w:val="none"/>
        </w:rPr>
        <w:fldChar w:fldCharType="begin"/>
      </w:r>
      <w:r>
        <w:rPr>
          <w:color w:val="auto"/>
          <w:highlight w:val="none"/>
        </w:rPr>
        <w:instrText xml:space="preserve"> HYPERLINK \l "_Toc6189" </w:instrText>
      </w:r>
      <w:r>
        <w:rPr>
          <w:color w:val="auto"/>
          <w:highlight w:val="none"/>
        </w:rPr>
        <w:fldChar w:fldCharType="separate"/>
      </w:r>
      <w:r>
        <w:rPr>
          <w:rFonts w:hint="eastAsia"/>
          <w:color w:val="auto"/>
          <w:highlight w:val="none"/>
        </w:rPr>
        <w:t>4  建筑设计</w:t>
      </w:r>
      <w:r>
        <w:rPr>
          <w:color w:val="auto"/>
          <w:highlight w:val="none"/>
        </w:rPr>
        <w:tab/>
      </w:r>
      <w:r>
        <w:rPr>
          <w:color w:val="auto"/>
          <w:highlight w:val="none"/>
        </w:rPr>
        <w:fldChar w:fldCharType="begin"/>
      </w:r>
      <w:r>
        <w:rPr>
          <w:color w:val="auto"/>
          <w:highlight w:val="none"/>
        </w:rPr>
        <w:instrText xml:space="preserve"> PAGEREF _Toc6189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pPr>
        <w:pStyle w:val="20"/>
        <w:tabs>
          <w:tab w:val="right" w:leader="dot" w:pos="9264"/>
        </w:tabs>
        <w:ind w:left="441"/>
        <w:rPr>
          <w:color w:val="auto"/>
          <w:highlight w:val="none"/>
        </w:rPr>
      </w:pPr>
      <w:r>
        <w:rPr>
          <w:color w:val="auto"/>
          <w:highlight w:val="none"/>
        </w:rPr>
        <w:fldChar w:fldCharType="begin"/>
      </w:r>
      <w:r>
        <w:rPr>
          <w:color w:val="auto"/>
          <w:highlight w:val="none"/>
        </w:rPr>
        <w:instrText xml:space="preserve"> HYPERLINK \l "_Toc8230" </w:instrText>
      </w:r>
      <w:r>
        <w:rPr>
          <w:color w:val="auto"/>
          <w:highlight w:val="none"/>
        </w:rPr>
        <w:fldChar w:fldCharType="separate"/>
      </w:r>
      <w:r>
        <w:rPr>
          <w:rFonts w:hint="eastAsia"/>
          <w:color w:val="auto"/>
          <w:highlight w:val="none"/>
        </w:rPr>
        <w:t>4</w:t>
      </w:r>
      <w:r>
        <w:rPr>
          <w:rFonts w:hint="eastAsia" w:ascii="宋体" w:hAnsi="宋体"/>
          <w:color w:val="auto"/>
          <w:szCs w:val="21"/>
          <w:highlight w:val="none"/>
        </w:rPr>
        <w:t>.</w:t>
      </w:r>
      <w:r>
        <w:rPr>
          <w:color w:val="auto"/>
          <w:highlight w:val="none"/>
        </w:rPr>
        <w:t>1</w:t>
      </w:r>
      <w:r>
        <w:rPr>
          <w:rFonts w:hint="eastAsia"/>
          <w:color w:val="auto"/>
          <w:highlight w:val="none"/>
        </w:rPr>
        <w:t xml:space="preserve">  一般规定</w:t>
      </w:r>
      <w:r>
        <w:rPr>
          <w:color w:val="auto"/>
          <w:highlight w:val="none"/>
        </w:rPr>
        <w:tab/>
      </w:r>
      <w:r>
        <w:rPr>
          <w:color w:val="auto"/>
          <w:highlight w:val="none"/>
        </w:rPr>
        <w:fldChar w:fldCharType="begin"/>
      </w:r>
      <w:r>
        <w:rPr>
          <w:color w:val="auto"/>
          <w:highlight w:val="none"/>
        </w:rPr>
        <w:instrText xml:space="preserve"> PAGEREF _Toc8230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pPr>
        <w:pStyle w:val="20"/>
        <w:tabs>
          <w:tab w:val="right" w:leader="dot" w:pos="9264"/>
        </w:tabs>
        <w:ind w:left="441"/>
        <w:rPr>
          <w:color w:val="auto"/>
          <w:highlight w:val="none"/>
        </w:rPr>
      </w:pPr>
      <w:r>
        <w:rPr>
          <w:color w:val="auto"/>
          <w:highlight w:val="none"/>
        </w:rPr>
        <w:fldChar w:fldCharType="begin"/>
      </w:r>
      <w:r>
        <w:rPr>
          <w:color w:val="auto"/>
          <w:highlight w:val="none"/>
        </w:rPr>
        <w:instrText xml:space="preserve"> HYPERLINK \l "_Toc30080" </w:instrText>
      </w:r>
      <w:r>
        <w:rPr>
          <w:color w:val="auto"/>
          <w:highlight w:val="none"/>
        </w:rPr>
        <w:fldChar w:fldCharType="separate"/>
      </w:r>
      <w:r>
        <w:rPr>
          <w:color w:val="auto"/>
          <w:highlight w:val="none"/>
        </w:rPr>
        <w:t>4</w:t>
      </w:r>
      <w:r>
        <w:rPr>
          <w:rFonts w:hint="eastAsia" w:ascii="宋体" w:hAnsi="宋体"/>
          <w:color w:val="auto"/>
          <w:szCs w:val="21"/>
          <w:highlight w:val="none"/>
        </w:rPr>
        <w:t>.</w:t>
      </w:r>
      <w:r>
        <w:rPr>
          <w:color w:val="auto"/>
          <w:highlight w:val="none"/>
        </w:rPr>
        <w:t>2</w:t>
      </w:r>
      <w:r>
        <w:rPr>
          <w:rFonts w:hint="eastAsia"/>
          <w:color w:val="auto"/>
          <w:highlight w:val="none"/>
        </w:rPr>
        <w:t xml:space="preserve">  模数协调</w:t>
      </w:r>
      <w:r>
        <w:rPr>
          <w:color w:val="auto"/>
          <w:highlight w:val="none"/>
        </w:rPr>
        <w:tab/>
      </w:r>
      <w:r>
        <w:rPr>
          <w:color w:val="auto"/>
          <w:highlight w:val="none"/>
        </w:rPr>
        <w:fldChar w:fldCharType="begin"/>
      </w:r>
      <w:r>
        <w:rPr>
          <w:color w:val="auto"/>
          <w:highlight w:val="none"/>
        </w:rPr>
        <w:instrText xml:space="preserve"> PAGEREF _Toc30080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pPr>
        <w:pStyle w:val="20"/>
        <w:tabs>
          <w:tab w:val="right" w:leader="dot" w:pos="9264"/>
        </w:tabs>
        <w:ind w:left="441"/>
        <w:rPr>
          <w:color w:val="auto"/>
          <w:highlight w:val="none"/>
        </w:rPr>
      </w:pPr>
      <w:r>
        <w:rPr>
          <w:color w:val="auto"/>
          <w:highlight w:val="none"/>
        </w:rPr>
        <w:fldChar w:fldCharType="begin"/>
      </w:r>
      <w:r>
        <w:rPr>
          <w:color w:val="auto"/>
          <w:highlight w:val="none"/>
        </w:rPr>
        <w:instrText xml:space="preserve"> HYPERLINK \l "_Toc5133" </w:instrText>
      </w:r>
      <w:r>
        <w:rPr>
          <w:color w:val="auto"/>
          <w:highlight w:val="none"/>
        </w:rPr>
        <w:fldChar w:fldCharType="separate"/>
      </w:r>
      <w:r>
        <w:rPr>
          <w:rFonts w:hint="eastAsia"/>
          <w:color w:val="auto"/>
          <w:highlight w:val="none"/>
        </w:rPr>
        <w:t>4</w:t>
      </w:r>
      <w:r>
        <w:rPr>
          <w:rFonts w:hint="eastAsia" w:ascii="宋体" w:hAnsi="宋体"/>
          <w:color w:val="auto"/>
          <w:szCs w:val="21"/>
          <w:highlight w:val="none"/>
        </w:rPr>
        <w:t>.</w:t>
      </w:r>
      <w:r>
        <w:rPr>
          <w:color w:val="auto"/>
          <w:highlight w:val="none"/>
        </w:rPr>
        <w:t>3</w:t>
      </w:r>
      <w:r>
        <w:rPr>
          <w:rFonts w:hint="eastAsia"/>
          <w:color w:val="auto"/>
          <w:highlight w:val="none"/>
        </w:rPr>
        <w:t xml:space="preserve">  建筑平面、立面设计</w:t>
      </w:r>
      <w:r>
        <w:rPr>
          <w:color w:val="auto"/>
          <w:highlight w:val="none"/>
        </w:rPr>
        <w:tab/>
      </w:r>
      <w:r>
        <w:rPr>
          <w:color w:val="auto"/>
          <w:highlight w:val="none"/>
        </w:rPr>
        <w:fldChar w:fldCharType="begin"/>
      </w:r>
      <w:r>
        <w:rPr>
          <w:color w:val="auto"/>
          <w:highlight w:val="none"/>
        </w:rPr>
        <w:instrText xml:space="preserve"> PAGEREF _Toc5133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20"/>
        <w:tabs>
          <w:tab w:val="right" w:leader="dot" w:pos="9264"/>
        </w:tabs>
        <w:ind w:left="441"/>
        <w:rPr>
          <w:color w:val="auto"/>
          <w:highlight w:val="none"/>
        </w:rPr>
      </w:pPr>
      <w:r>
        <w:rPr>
          <w:color w:val="auto"/>
          <w:highlight w:val="none"/>
        </w:rPr>
        <w:fldChar w:fldCharType="begin"/>
      </w:r>
      <w:r>
        <w:rPr>
          <w:color w:val="auto"/>
          <w:highlight w:val="none"/>
        </w:rPr>
        <w:instrText xml:space="preserve"> HYPERLINK \l "_Toc26949" </w:instrText>
      </w:r>
      <w:r>
        <w:rPr>
          <w:color w:val="auto"/>
          <w:highlight w:val="none"/>
        </w:rPr>
        <w:fldChar w:fldCharType="separate"/>
      </w:r>
      <w:r>
        <w:rPr>
          <w:rFonts w:hint="eastAsia"/>
          <w:color w:val="auto"/>
          <w:highlight w:val="none"/>
        </w:rPr>
        <w:t>4</w:t>
      </w:r>
      <w:r>
        <w:rPr>
          <w:rFonts w:hint="eastAsia" w:ascii="宋体" w:hAnsi="宋体"/>
          <w:color w:val="auto"/>
          <w:szCs w:val="21"/>
          <w:highlight w:val="none"/>
        </w:rPr>
        <w:t>.</w:t>
      </w:r>
      <w:r>
        <w:rPr>
          <w:color w:val="auto"/>
          <w:highlight w:val="none"/>
        </w:rPr>
        <w:t>4</w:t>
      </w:r>
      <w:r>
        <w:rPr>
          <w:rFonts w:hint="eastAsia"/>
          <w:color w:val="auto"/>
          <w:highlight w:val="none"/>
        </w:rPr>
        <w:t xml:space="preserve">  构造要求</w:t>
      </w:r>
      <w:r>
        <w:rPr>
          <w:color w:val="auto"/>
          <w:highlight w:val="none"/>
        </w:rPr>
        <w:tab/>
      </w:r>
      <w:r>
        <w:rPr>
          <w:color w:val="auto"/>
          <w:highlight w:val="none"/>
        </w:rPr>
        <w:fldChar w:fldCharType="begin"/>
      </w:r>
      <w:r>
        <w:rPr>
          <w:color w:val="auto"/>
          <w:highlight w:val="none"/>
        </w:rPr>
        <w:instrText xml:space="preserve"> PAGEREF _Toc26949 \h </w:instrText>
      </w:r>
      <w:r>
        <w:rPr>
          <w:color w:val="auto"/>
          <w:highlight w:val="none"/>
        </w:rPr>
        <w:fldChar w:fldCharType="separate"/>
      </w:r>
      <w:r>
        <w:rPr>
          <w:color w:val="auto"/>
          <w:highlight w:val="none"/>
        </w:rPr>
        <w:t>11</w:t>
      </w:r>
      <w:r>
        <w:rPr>
          <w:color w:val="auto"/>
          <w:highlight w:val="none"/>
        </w:rPr>
        <w:fldChar w:fldCharType="end"/>
      </w:r>
      <w:r>
        <w:rPr>
          <w:color w:val="auto"/>
          <w:highlight w:val="none"/>
        </w:rPr>
        <w:fldChar w:fldCharType="end"/>
      </w:r>
    </w:p>
    <w:p>
      <w:pPr>
        <w:pStyle w:val="17"/>
        <w:tabs>
          <w:tab w:val="right" w:leader="dot" w:pos="9264"/>
          <w:tab w:val="clear" w:pos="1050"/>
          <w:tab w:val="clear" w:pos="13948"/>
        </w:tabs>
        <w:rPr>
          <w:color w:val="auto"/>
          <w:highlight w:val="none"/>
        </w:rPr>
      </w:pPr>
      <w:r>
        <w:rPr>
          <w:color w:val="auto"/>
          <w:highlight w:val="none"/>
        </w:rPr>
        <w:fldChar w:fldCharType="begin"/>
      </w:r>
      <w:r>
        <w:rPr>
          <w:color w:val="auto"/>
          <w:highlight w:val="none"/>
        </w:rPr>
        <w:instrText xml:space="preserve"> HYPERLINK \l "_Toc28917" </w:instrText>
      </w:r>
      <w:r>
        <w:rPr>
          <w:color w:val="auto"/>
          <w:highlight w:val="none"/>
        </w:rPr>
        <w:fldChar w:fldCharType="separate"/>
      </w:r>
      <w:r>
        <w:rPr>
          <w:color w:val="auto"/>
          <w:highlight w:val="none"/>
        </w:rPr>
        <w:t>5</w:t>
      </w:r>
      <w:r>
        <w:rPr>
          <w:rFonts w:hint="eastAsia"/>
          <w:color w:val="auto"/>
          <w:highlight w:val="none"/>
        </w:rPr>
        <w:t xml:space="preserve">  结构设计</w:t>
      </w:r>
      <w:r>
        <w:rPr>
          <w:color w:val="auto"/>
          <w:highlight w:val="none"/>
        </w:rPr>
        <w:tab/>
      </w:r>
      <w:r>
        <w:rPr>
          <w:color w:val="auto"/>
          <w:highlight w:val="none"/>
        </w:rPr>
        <w:fldChar w:fldCharType="begin"/>
      </w:r>
      <w:r>
        <w:rPr>
          <w:color w:val="auto"/>
          <w:highlight w:val="none"/>
        </w:rPr>
        <w:instrText xml:space="preserve"> PAGEREF _Toc28917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pPr>
        <w:pStyle w:val="20"/>
        <w:tabs>
          <w:tab w:val="right" w:leader="dot" w:pos="9264"/>
        </w:tabs>
        <w:ind w:left="441"/>
        <w:rPr>
          <w:color w:val="auto"/>
          <w:highlight w:val="none"/>
        </w:rPr>
      </w:pPr>
      <w:r>
        <w:rPr>
          <w:color w:val="auto"/>
          <w:highlight w:val="none"/>
        </w:rPr>
        <w:fldChar w:fldCharType="begin"/>
      </w:r>
      <w:r>
        <w:rPr>
          <w:color w:val="auto"/>
          <w:highlight w:val="none"/>
        </w:rPr>
        <w:instrText xml:space="preserve"> HYPERLINK \l "_Toc13839" </w:instrText>
      </w:r>
      <w:r>
        <w:rPr>
          <w:color w:val="auto"/>
          <w:highlight w:val="none"/>
        </w:rPr>
        <w:fldChar w:fldCharType="separate"/>
      </w:r>
      <w:r>
        <w:rPr>
          <w:rFonts w:hint="eastAsia"/>
          <w:color w:val="auto"/>
          <w:highlight w:val="none"/>
        </w:rPr>
        <w:t>5</w:t>
      </w:r>
      <w:r>
        <w:rPr>
          <w:rFonts w:hint="eastAsia" w:ascii="宋体" w:hAnsi="宋体"/>
          <w:color w:val="auto"/>
          <w:szCs w:val="21"/>
          <w:highlight w:val="none"/>
        </w:rPr>
        <w:t>.</w:t>
      </w:r>
      <w:r>
        <w:rPr>
          <w:color w:val="auto"/>
          <w:highlight w:val="none"/>
        </w:rPr>
        <w:t>1</w:t>
      </w:r>
      <w:r>
        <w:rPr>
          <w:rFonts w:hint="eastAsia"/>
          <w:color w:val="auto"/>
          <w:highlight w:val="none"/>
        </w:rPr>
        <w:t xml:space="preserve">  一般规定</w:t>
      </w:r>
      <w:r>
        <w:rPr>
          <w:color w:val="auto"/>
          <w:highlight w:val="none"/>
        </w:rPr>
        <w:tab/>
      </w:r>
      <w:r>
        <w:rPr>
          <w:color w:val="auto"/>
          <w:highlight w:val="none"/>
        </w:rPr>
        <w:fldChar w:fldCharType="begin"/>
      </w:r>
      <w:r>
        <w:rPr>
          <w:color w:val="auto"/>
          <w:highlight w:val="none"/>
        </w:rPr>
        <w:instrText xml:space="preserve"> PAGEREF _Toc13839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pPr>
        <w:pStyle w:val="20"/>
        <w:tabs>
          <w:tab w:val="right" w:leader="dot" w:pos="9264"/>
        </w:tabs>
        <w:ind w:left="441"/>
        <w:rPr>
          <w:color w:val="auto"/>
          <w:highlight w:val="none"/>
        </w:rPr>
      </w:pPr>
      <w:r>
        <w:rPr>
          <w:color w:val="auto"/>
          <w:highlight w:val="none"/>
        </w:rPr>
        <w:fldChar w:fldCharType="begin"/>
      </w:r>
      <w:r>
        <w:rPr>
          <w:color w:val="auto"/>
          <w:highlight w:val="none"/>
        </w:rPr>
        <w:instrText xml:space="preserve"> HYPERLINK \l "_Toc15278" </w:instrText>
      </w:r>
      <w:r>
        <w:rPr>
          <w:color w:val="auto"/>
          <w:highlight w:val="none"/>
        </w:rPr>
        <w:fldChar w:fldCharType="separate"/>
      </w:r>
      <w:r>
        <w:rPr>
          <w:rFonts w:hint="eastAsia"/>
          <w:color w:val="auto"/>
          <w:highlight w:val="none"/>
        </w:rPr>
        <w:t>5</w:t>
      </w:r>
      <w:r>
        <w:rPr>
          <w:rFonts w:hint="eastAsia" w:ascii="宋体" w:hAnsi="宋体"/>
          <w:color w:val="auto"/>
          <w:szCs w:val="21"/>
          <w:highlight w:val="none"/>
        </w:rPr>
        <w:t>.</w:t>
      </w:r>
      <w:r>
        <w:rPr>
          <w:color w:val="auto"/>
          <w:highlight w:val="none"/>
        </w:rPr>
        <w:t>2</w:t>
      </w:r>
      <w:r>
        <w:rPr>
          <w:rFonts w:hint="eastAsia"/>
          <w:color w:val="auto"/>
          <w:highlight w:val="none"/>
        </w:rPr>
        <w:t xml:space="preserve">  结构体系</w:t>
      </w:r>
      <w:r>
        <w:rPr>
          <w:color w:val="auto"/>
          <w:highlight w:val="none"/>
        </w:rPr>
        <w:tab/>
      </w:r>
      <w:r>
        <w:rPr>
          <w:color w:val="auto"/>
          <w:highlight w:val="none"/>
        </w:rPr>
        <w:fldChar w:fldCharType="begin"/>
      </w:r>
      <w:r>
        <w:rPr>
          <w:color w:val="auto"/>
          <w:highlight w:val="none"/>
        </w:rPr>
        <w:instrText xml:space="preserve"> PAGEREF _Toc15278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pPr>
        <w:pStyle w:val="20"/>
        <w:tabs>
          <w:tab w:val="right" w:leader="dot" w:pos="9264"/>
        </w:tabs>
        <w:ind w:left="441"/>
        <w:rPr>
          <w:color w:val="auto"/>
          <w:highlight w:val="none"/>
        </w:rPr>
      </w:pPr>
      <w:r>
        <w:rPr>
          <w:color w:val="auto"/>
          <w:highlight w:val="none"/>
        </w:rPr>
        <w:fldChar w:fldCharType="begin"/>
      </w:r>
      <w:r>
        <w:rPr>
          <w:color w:val="auto"/>
          <w:highlight w:val="none"/>
        </w:rPr>
        <w:instrText xml:space="preserve"> HYPERLINK \l "_Toc12218" </w:instrText>
      </w:r>
      <w:r>
        <w:rPr>
          <w:color w:val="auto"/>
          <w:highlight w:val="none"/>
        </w:rPr>
        <w:fldChar w:fldCharType="separate"/>
      </w:r>
      <w:r>
        <w:rPr>
          <w:color w:val="auto"/>
          <w:highlight w:val="none"/>
        </w:rPr>
        <w:t>5</w:t>
      </w:r>
      <w:r>
        <w:rPr>
          <w:rFonts w:hint="eastAsia" w:ascii="宋体" w:hAnsi="宋体" w:cs="宋体"/>
          <w:color w:val="auto"/>
          <w:highlight w:val="none"/>
        </w:rPr>
        <w:t>.</w:t>
      </w:r>
      <w:r>
        <w:rPr>
          <w:color w:val="auto"/>
          <w:highlight w:val="none"/>
        </w:rPr>
        <w:t xml:space="preserve">3  </w:t>
      </w:r>
      <w:r>
        <w:rPr>
          <w:rFonts w:hint="eastAsia"/>
          <w:color w:val="auto"/>
          <w:highlight w:val="none"/>
        </w:rPr>
        <w:t>结构分析与计算</w:t>
      </w:r>
      <w:r>
        <w:rPr>
          <w:color w:val="auto"/>
          <w:highlight w:val="none"/>
        </w:rPr>
        <w:tab/>
      </w:r>
      <w:r>
        <w:rPr>
          <w:color w:val="auto"/>
          <w:highlight w:val="none"/>
        </w:rPr>
        <w:fldChar w:fldCharType="begin"/>
      </w:r>
      <w:r>
        <w:rPr>
          <w:color w:val="auto"/>
          <w:highlight w:val="none"/>
        </w:rPr>
        <w:instrText xml:space="preserve"> PAGEREF _Toc12218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20"/>
        <w:tabs>
          <w:tab w:val="right" w:leader="dot" w:pos="9264"/>
        </w:tabs>
        <w:ind w:left="441"/>
        <w:rPr>
          <w:color w:val="auto"/>
          <w:highlight w:val="none"/>
        </w:rPr>
      </w:pPr>
      <w:r>
        <w:rPr>
          <w:color w:val="auto"/>
          <w:highlight w:val="none"/>
        </w:rPr>
        <w:fldChar w:fldCharType="begin"/>
      </w:r>
      <w:r>
        <w:rPr>
          <w:color w:val="auto"/>
          <w:highlight w:val="none"/>
        </w:rPr>
        <w:instrText xml:space="preserve"> HYPERLINK \l "_Toc31180" </w:instrText>
      </w:r>
      <w:r>
        <w:rPr>
          <w:color w:val="auto"/>
          <w:highlight w:val="none"/>
        </w:rPr>
        <w:fldChar w:fldCharType="separate"/>
      </w:r>
      <w:r>
        <w:rPr>
          <w:color w:val="auto"/>
          <w:highlight w:val="none"/>
        </w:rPr>
        <w:t>5</w:t>
      </w:r>
      <w:r>
        <w:rPr>
          <w:rFonts w:hint="eastAsia" w:ascii="仿宋" w:hAnsi="仿宋" w:eastAsia="仿宋" w:cs="仿宋"/>
          <w:color w:val="auto"/>
          <w:highlight w:val="none"/>
        </w:rPr>
        <w:t>.</w:t>
      </w:r>
      <w:r>
        <w:rPr>
          <w:rFonts w:hint="eastAsia"/>
          <w:color w:val="auto"/>
          <w:highlight w:val="none"/>
        </w:rPr>
        <w:t>4</w:t>
      </w:r>
      <w:r>
        <w:rPr>
          <w:color w:val="auto"/>
          <w:highlight w:val="none"/>
        </w:rPr>
        <w:t xml:space="preserve">  模块单元设计</w:t>
      </w:r>
      <w:r>
        <w:rPr>
          <w:color w:val="auto"/>
          <w:highlight w:val="none"/>
        </w:rPr>
        <w:tab/>
      </w:r>
      <w:r>
        <w:rPr>
          <w:color w:val="auto"/>
          <w:highlight w:val="none"/>
        </w:rPr>
        <w:fldChar w:fldCharType="begin"/>
      </w:r>
      <w:r>
        <w:rPr>
          <w:color w:val="auto"/>
          <w:highlight w:val="none"/>
        </w:rPr>
        <w:instrText xml:space="preserve"> PAGEREF _Toc31180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20"/>
        <w:tabs>
          <w:tab w:val="right" w:leader="dot" w:pos="9264"/>
        </w:tabs>
        <w:ind w:left="441"/>
        <w:rPr>
          <w:color w:val="auto"/>
          <w:highlight w:val="none"/>
        </w:rPr>
      </w:pPr>
      <w:r>
        <w:rPr>
          <w:color w:val="auto"/>
          <w:highlight w:val="none"/>
        </w:rPr>
        <w:fldChar w:fldCharType="begin"/>
      </w:r>
      <w:r>
        <w:rPr>
          <w:color w:val="auto"/>
          <w:highlight w:val="none"/>
        </w:rPr>
        <w:instrText xml:space="preserve"> HYPERLINK \l "_Toc10731" </w:instrText>
      </w:r>
      <w:r>
        <w:rPr>
          <w:color w:val="auto"/>
          <w:highlight w:val="none"/>
        </w:rPr>
        <w:fldChar w:fldCharType="separate"/>
      </w:r>
      <w:r>
        <w:rPr>
          <w:color w:val="auto"/>
          <w:highlight w:val="none"/>
        </w:rPr>
        <w:t>5</w:t>
      </w:r>
      <w:r>
        <w:rPr>
          <w:rFonts w:hint="eastAsia" w:ascii="宋体" w:hAnsi="宋体"/>
          <w:color w:val="auto"/>
          <w:szCs w:val="21"/>
          <w:highlight w:val="none"/>
        </w:rPr>
        <w:t>.</w:t>
      </w:r>
      <w:r>
        <w:rPr>
          <w:rFonts w:hint="eastAsia"/>
          <w:color w:val="auto"/>
          <w:highlight w:val="none"/>
        </w:rPr>
        <w:t>5  模块单元短暂设计状况的验算</w:t>
      </w:r>
      <w:r>
        <w:rPr>
          <w:color w:val="auto"/>
          <w:highlight w:val="none"/>
        </w:rPr>
        <w:tab/>
      </w:r>
      <w:r>
        <w:rPr>
          <w:color w:val="auto"/>
          <w:highlight w:val="none"/>
        </w:rPr>
        <w:fldChar w:fldCharType="begin"/>
      </w:r>
      <w:r>
        <w:rPr>
          <w:color w:val="auto"/>
          <w:highlight w:val="none"/>
        </w:rPr>
        <w:instrText xml:space="preserve"> PAGEREF _Toc10731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20"/>
        <w:tabs>
          <w:tab w:val="right" w:leader="dot" w:pos="9264"/>
        </w:tabs>
        <w:ind w:left="441"/>
        <w:rPr>
          <w:color w:val="auto"/>
          <w:highlight w:val="none"/>
        </w:rPr>
      </w:pPr>
      <w:r>
        <w:rPr>
          <w:color w:val="auto"/>
          <w:highlight w:val="none"/>
        </w:rPr>
        <w:fldChar w:fldCharType="begin"/>
      </w:r>
      <w:r>
        <w:rPr>
          <w:color w:val="auto"/>
          <w:highlight w:val="none"/>
        </w:rPr>
        <w:instrText xml:space="preserve"> HYPERLINK \l "_Toc17120" </w:instrText>
      </w:r>
      <w:r>
        <w:rPr>
          <w:color w:val="auto"/>
          <w:highlight w:val="none"/>
        </w:rPr>
        <w:fldChar w:fldCharType="separate"/>
      </w:r>
      <w:r>
        <w:rPr>
          <w:color w:val="auto"/>
          <w:highlight w:val="none"/>
        </w:rPr>
        <w:t>5</w:t>
      </w:r>
      <w:r>
        <w:rPr>
          <w:rFonts w:hint="eastAsia" w:ascii="宋体" w:hAnsi="宋体"/>
          <w:color w:val="auto"/>
          <w:szCs w:val="21"/>
          <w:highlight w:val="none"/>
        </w:rPr>
        <w:t>.</w:t>
      </w:r>
      <w:r>
        <w:rPr>
          <w:rFonts w:hint="eastAsia"/>
          <w:color w:val="auto"/>
          <w:highlight w:val="none"/>
        </w:rPr>
        <w:t>6  地基基础</w:t>
      </w:r>
      <w:r>
        <w:rPr>
          <w:color w:val="auto"/>
          <w:highlight w:val="none"/>
        </w:rPr>
        <w:tab/>
      </w:r>
      <w:r>
        <w:rPr>
          <w:color w:val="auto"/>
          <w:highlight w:val="none"/>
        </w:rPr>
        <w:fldChar w:fldCharType="begin"/>
      </w:r>
      <w:r>
        <w:rPr>
          <w:color w:val="auto"/>
          <w:highlight w:val="none"/>
        </w:rPr>
        <w:instrText xml:space="preserve"> PAGEREF _Toc17120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17"/>
        <w:tabs>
          <w:tab w:val="right" w:leader="dot" w:pos="9264"/>
          <w:tab w:val="clear" w:pos="1050"/>
          <w:tab w:val="clear" w:pos="13948"/>
        </w:tabs>
        <w:rPr>
          <w:color w:val="auto"/>
          <w:highlight w:val="none"/>
        </w:rPr>
      </w:pPr>
      <w:r>
        <w:rPr>
          <w:color w:val="auto"/>
          <w:highlight w:val="none"/>
        </w:rPr>
        <w:fldChar w:fldCharType="begin"/>
      </w:r>
      <w:r>
        <w:rPr>
          <w:color w:val="auto"/>
          <w:highlight w:val="none"/>
        </w:rPr>
        <w:instrText xml:space="preserve"> HYPERLINK \l "_Toc26046" </w:instrText>
      </w:r>
      <w:r>
        <w:rPr>
          <w:color w:val="auto"/>
          <w:highlight w:val="none"/>
        </w:rPr>
        <w:fldChar w:fldCharType="separate"/>
      </w:r>
      <w:r>
        <w:rPr>
          <w:rFonts w:hint="eastAsia"/>
          <w:color w:val="auto"/>
          <w:highlight w:val="none"/>
        </w:rPr>
        <w:t>6  设备与管线设计</w:t>
      </w:r>
      <w:r>
        <w:rPr>
          <w:color w:val="auto"/>
          <w:highlight w:val="none"/>
        </w:rPr>
        <w:tab/>
      </w:r>
      <w:r>
        <w:rPr>
          <w:color w:val="auto"/>
          <w:highlight w:val="none"/>
        </w:rPr>
        <w:fldChar w:fldCharType="begin"/>
      </w:r>
      <w:r>
        <w:rPr>
          <w:color w:val="auto"/>
          <w:highlight w:val="none"/>
        </w:rPr>
        <w:instrText xml:space="preserve"> PAGEREF _Toc26046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20"/>
        <w:tabs>
          <w:tab w:val="right" w:leader="dot" w:pos="9264"/>
        </w:tabs>
        <w:ind w:left="441"/>
        <w:rPr>
          <w:color w:val="auto"/>
          <w:highlight w:val="none"/>
        </w:rPr>
      </w:pPr>
      <w:r>
        <w:rPr>
          <w:color w:val="auto"/>
          <w:highlight w:val="none"/>
        </w:rPr>
        <w:fldChar w:fldCharType="begin"/>
      </w:r>
      <w:r>
        <w:rPr>
          <w:color w:val="auto"/>
          <w:highlight w:val="none"/>
        </w:rPr>
        <w:instrText xml:space="preserve"> HYPERLINK \l "_Toc28550" </w:instrText>
      </w:r>
      <w:r>
        <w:rPr>
          <w:color w:val="auto"/>
          <w:highlight w:val="none"/>
        </w:rPr>
        <w:fldChar w:fldCharType="separate"/>
      </w:r>
      <w:r>
        <w:rPr>
          <w:rFonts w:hint="eastAsia"/>
          <w:color w:val="auto"/>
          <w:highlight w:val="none"/>
        </w:rPr>
        <w:t>6</w:t>
      </w:r>
      <w:r>
        <w:rPr>
          <w:rFonts w:hint="eastAsia" w:ascii="宋体" w:hAnsi="宋体"/>
          <w:color w:val="auto"/>
          <w:szCs w:val="21"/>
          <w:highlight w:val="none"/>
        </w:rPr>
        <w:t>.</w:t>
      </w:r>
      <w:r>
        <w:rPr>
          <w:color w:val="auto"/>
          <w:highlight w:val="none"/>
        </w:rPr>
        <w:t>1</w:t>
      </w:r>
      <w:r>
        <w:rPr>
          <w:rFonts w:hint="eastAsia"/>
          <w:color w:val="auto"/>
          <w:highlight w:val="none"/>
        </w:rPr>
        <w:t xml:space="preserve">  一般规定</w:t>
      </w:r>
      <w:r>
        <w:rPr>
          <w:color w:val="auto"/>
          <w:highlight w:val="none"/>
        </w:rPr>
        <w:tab/>
      </w:r>
      <w:r>
        <w:rPr>
          <w:color w:val="auto"/>
          <w:highlight w:val="none"/>
        </w:rPr>
        <w:fldChar w:fldCharType="begin"/>
      </w:r>
      <w:r>
        <w:rPr>
          <w:color w:val="auto"/>
          <w:highlight w:val="none"/>
        </w:rPr>
        <w:instrText xml:space="preserve"> PAGEREF _Toc28550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20"/>
        <w:tabs>
          <w:tab w:val="right" w:leader="dot" w:pos="9264"/>
        </w:tabs>
        <w:ind w:left="441"/>
        <w:rPr>
          <w:color w:val="auto"/>
          <w:highlight w:val="none"/>
        </w:rPr>
      </w:pPr>
      <w:r>
        <w:rPr>
          <w:color w:val="auto"/>
          <w:highlight w:val="none"/>
        </w:rPr>
        <w:fldChar w:fldCharType="begin"/>
      </w:r>
      <w:r>
        <w:rPr>
          <w:color w:val="auto"/>
          <w:highlight w:val="none"/>
        </w:rPr>
        <w:instrText xml:space="preserve"> HYPERLINK \l "_Toc10754" </w:instrText>
      </w:r>
      <w:r>
        <w:rPr>
          <w:color w:val="auto"/>
          <w:highlight w:val="none"/>
        </w:rPr>
        <w:fldChar w:fldCharType="separate"/>
      </w:r>
      <w:r>
        <w:rPr>
          <w:rFonts w:hint="eastAsia"/>
          <w:color w:val="auto"/>
          <w:highlight w:val="none"/>
        </w:rPr>
        <w:t>6</w:t>
      </w:r>
      <w:r>
        <w:rPr>
          <w:rFonts w:hint="eastAsia" w:ascii="宋体" w:hAnsi="宋体"/>
          <w:color w:val="auto"/>
          <w:szCs w:val="21"/>
          <w:highlight w:val="none"/>
        </w:rPr>
        <w:t>.</w:t>
      </w:r>
      <w:r>
        <w:rPr>
          <w:color w:val="auto"/>
          <w:highlight w:val="none"/>
        </w:rPr>
        <w:t>2</w:t>
      </w:r>
      <w:r>
        <w:rPr>
          <w:rFonts w:hint="eastAsia"/>
          <w:color w:val="auto"/>
          <w:highlight w:val="none"/>
        </w:rPr>
        <w:t xml:space="preserve">  给水排水系统</w:t>
      </w:r>
      <w:r>
        <w:rPr>
          <w:color w:val="auto"/>
          <w:highlight w:val="none"/>
        </w:rPr>
        <w:tab/>
      </w:r>
      <w:r>
        <w:rPr>
          <w:color w:val="auto"/>
          <w:highlight w:val="none"/>
        </w:rPr>
        <w:fldChar w:fldCharType="begin"/>
      </w:r>
      <w:r>
        <w:rPr>
          <w:color w:val="auto"/>
          <w:highlight w:val="none"/>
        </w:rPr>
        <w:instrText xml:space="preserve"> PAGEREF _Toc10754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20"/>
        <w:tabs>
          <w:tab w:val="right" w:leader="dot" w:pos="9264"/>
        </w:tabs>
        <w:ind w:left="441"/>
        <w:rPr>
          <w:color w:val="auto"/>
          <w:highlight w:val="none"/>
        </w:rPr>
      </w:pPr>
      <w:r>
        <w:rPr>
          <w:color w:val="auto"/>
          <w:highlight w:val="none"/>
        </w:rPr>
        <w:fldChar w:fldCharType="begin"/>
      </w:r>
      <w:r>
        <w:rPr>
          <w:color w:val="auto"/>
          <w:highlight w:val="none"/>
        </w:rPr>
        <w:instrText xml:space="preserve"> HYPERLINK \l "_Toc11785" </w:instrText>
      </w:r>
      <w:r>
        <w:rPr>
          <w:color w:val="auto"/>
          <w:highlight w:val="none"/>
        </w:rPr>
        <w:fldChar w:fldCharType="separate"/>
      </w:r>
      <w:r>
        <w:rPr>
          <w:rFonts w:hint="eastAsia"/>
          <w:color w:val="auto"/>
          <w:highlight w:val="none"/>
        </w:rPr>
        <w:t>6</w:t>
      </w:r>
      <w:r>
        <w:rPr>
          <w:rFonts w:hint="eastAsia" w:ascii="宋体" w:hAnsi="宋体"/>
          <w:color w:val="auto"/>
          <w:szCs w:val="21"/>
          <w:highlight w:val="none"/>
        </w:rPr>
        <w:t>.</w:t>
      </w:r>
      <w:r>
        <w:rPr>
          <w:color w:val="auto"/>
          <w:highlight w:val="none"/>
        </w:rPr>
        <w:t>3</w:t>
      </w:r>
      <w:r>
        <w:rPr>
          <w:rFonts w:hint="eastAsia"/>
          <w:color w:val="auto"/>
          <w:highlight w:val="none"/>
        </w:rPr>
        <w:t xml:space="preserve">  供暖、通风、空调及燃气系统</w:t>
      </w:r>
      <w:r>
        <w:rPr>
          <w:color w:val="auto"/>
          <w:highlight w:val="none"/>
        </w:rPr>
        <w:tab/>
      </w:r>
      <w:r>
        <w:rPr>
          <w:color w:val="auto"/>
          <w:highlight w:val="none"/>
        </w:rPr>
        <w:fldChar w:fldCharType="begin"/>
      </w:r>
      <w:r>
        <w:rPr>
          <w:color w:val="auto"/>
          <w:highlight w:val="none"/>
        </w:rPr>
        <w:instrText xml:space="preserve"> PAGEREF _Toc11785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20"/>
        <w:tabs>
          <w:tab w:val="right" w:leader="dot" w:pos="9264"/>
        </w:tabs>
        <w:ind w:left="441"/>
        <w:rPr>
          <w:color w:val="auto"/>
          <w:highlight w:val="none"/>
        </w:rPr>
      </w:pPr>
      <w:r>
        <w:rPr>
          <w:color w:val="auto"/>
          <w:highlight w:val="none"/>
        </w:rPr>
        <w:fldChar w:fldCharType="begin"/>
      </w:r>
      <w:r>
        <w:rPr>
          <w:color w:val="auto"/>
          <w:highlight w:val="none"/>
        </w:rPr>
        <w:instrText xml:space="preserve"> HYPERLINK \l "_Toc5813" </w:instrText>
      </w:r>
      <w:r>
        <w:rPr>
          <w:color w:val="auto"/>
          <w:highlight w:val="none"/>
        </w:rPr>
        <w:fldChar w:fldCharType="separate"/>
      </w:r>
      <w:r>
        <w:rPr>
          <w:rFonts w:hint="eastAsia"/>
          <w:color w:val="auto"/>
          <w:highlight w:val="none"/>
        </w:rPr>
        <w:t>6</w:t>
      </w:r>
      <w:r>
        <w:rPr>
          <w:rFonts w:hint="eastAsia" w:ascii="宋体" w:hAnsi="宋体"/>
          <w:color w:val="auto"/>
          <w:szCs w:val="21"/>
          <w:highlight w:val="none"/>
        </w:rPr>
        <w:t>.</w:t>
      </w:r>
      <w:r>
        <w:rPr>
          <w:color w:val="auto"/>
          <w:highlight w:val="none"/>
        </w:rPr>
        <w:t>4</w:t>
      </w:r>
      <w:r>
        <w:rPr>
          <w:rFonts w:hint="eastAsia"/>
          <w:color w:val="auto"/>
          <w:highlight w:val="none"/>
        </w:rPr>
        <w:t xml:space="preserve">  电气系统</w:t>
      </w:r>
      <w:r>
        <w:rPr>
          <w:color w:val="auto"/>
          <w:highlight w:val="none"/>
        </w:rPr>
        <w:tab/>
      </w:r>
      <w:r>
        <w:rPr>
          <w:color w:val="auto"/>
          <w:highlight w:val="none"/>
        </w:rPr>
        <w:fldChar w:fldCharType="begin"/>
      </w:r>
      <w:r>
        <w:rPr>
          <w:color w:val="auto"/>
          <w:highlight w:val="none"/>
        </w:rPr>
        <w:instrText xml:space="preserve"> PAGEREF _Toc5813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7"/>
        <w:tabs>
          <w:tab w:val="right" w:leader="dot" w:pos="9264"/>
          <w:tab w:val="clear" w:pos="1050"/>
          <w:tab w:val="clear" w:pos="13948"/>
        </w:tabs>
        <w:rPr>
          <w:color w:val="auto"/>
          <w:highlight w:val="none"/>
        </w:rPr>
      </w:pPr>
      <w:r>
        <w:rPr>
          <w:color w:val="auto"/>
          <w:highlight w:val="none"/>
        </w:rPr>
        <w:fldChar w:fldCharType="begin"/>
      </w:r>
      <w:r>
        <w:rPr>
          <w:color w:val="auto"/>
          <w:highlight w:val="none"/>
        </w:rPr>
        <w:instrText xml:space="preserve"> HYPERLINK \l "_Toc4315" </w:instrText>
      </w:r>
      <w:r>
        <w:rPr>
          <w:color w:val="auto"/>
          <w:highlight w:val="none"/>
        </w:rPr>
        <w:fldChar w:fldCharType="separate"/>
      </w:r>
      <w:r>
        <w:rPr>
          <w:color w:val="auto"/>
          <w:highlight w:val="none"/>
        </w:rPr>
        <w:t>7</w:t>
      </w:r>
      <w:r>
        <w:rPr>
          <w:rFonts w:hint="eastAsia"/>
          <w:color w:val="auto"/>
          <w:highlight w:val="none"/>
        </w:rPr>
        <w:t xml:space="preserve">  内装设计</w:t>
      </w:r>
      <w:r>
        <w:rPr>
          <w:color w:val="auto"/>
          <w:highlight w:val="none"/>
        </w:rPr>
        <w:tab/>
      </w:r>
      <w:r>
        <w:rPr>
          <w:color w:val="auto"/>
          <w:highlight w:val="none"/>
        </w:rPr>
        <w:fldChar w:fldCharType="begin"/>
      </w:r>
      <w:r>
        <w:rPr>
          <w:color w:val="auto"/>
          <w:highlight w:val="none"/>
        </w:rPr>
        <w:instrText xml:space="preserve"> PAGEREF _Toc4315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20"/>
        <w:tabs>
          <w:tab w:val="right" w:leader="dot" w:pos="9264"/>
        </w:tabs>
        <w:ind w:left="441"/>
        <w:rPr>
          <w:color w:val="auto"/>
          <w:highlight w:val="none"/>
        </w:rPr>
      </w:pPr>
      <w:r>
        <w:rPr>
          <w:color w:val="auto"/>
          <w:highlight w:val="none"/>
        </w:rPr>
        <w:fldChar w:fldCharType="begin"/>
      </w:r>
      <w:r>
        <w:rPr>
          <w:color w:val="auto"/>
          <w:highlight w:val="none"/>
        </w:rPr>
        <w:instrText xml:space="preserve"> HYPERLINK \l "_Toc3739" </w:instrText>
      </w:r>
      <w:r>
        <w:rPr>
          <w:color w:val="auto"/>
          <w:highlight w:val="none"/>
        </w:rPr>
        <w:fldChar w:fldCharType="separate"/>
      </w:r>
      <w:r>
        <w:rPr>
          <w:rFonts w:hint="eastAsia"/>
          <w:color w:val="auto"/>
          <w:highlight w:val="none"/>
        </w:rPr>
        <w:t>7</w:t>
      </w:r>
      <w:r>
        <w:rPr>
          <w:rFonts w:hint="eastAsia" w:ascii="宋体" w:hAnsi="宋体"/>
          <w:color w:val="auto"/>
          <w:szCs w:val="21"/>
          <w:highlight w:val="none"/>
        </w:rPr>
        <w:t>.</w:t>
      </w:r>
      <w:r>
        <w:rPr>
          <w:color w:val="auto"/>
          <w:highlight w:val="none"/>
        </w:rPr>
        <w:t>1</w:t>
      </w:r>
      <w:r>
        <w:rPr>
          <w:rFonts w:hint="eastAsia"/>
          <w:color w:val="auto"/>
          <w:highlight w:val="none"/>
        </w:rPr>
        <w:t xml:space="preserve">  一般规定</w:t>
      </w:r>
      <w:r>
        <w:rPr>
          <w:color w:val="auto"/>
          <w:highlight w:val="none"/>
        </w:rPr>
        <w:tab/>
      </w:r>
      <w:r>
        <w:rPr>
          <w:color w:val="auto"/>
          <w:highlight w:val="none"/>
        </w:rPr>
        <w:fldChar w:fldCharType="begin"/>
      </w:r>
      <w:r>
        <w:rPr>
          <w:color w:val="auto"/>
          <w:highlight w:val="none"/>
        </w:rPr>
        <w:instrText xml:space="preserve"> PAGEREF _Toc3739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20"/>
        <w:tabs>
          <w:tab w:val="right" w:leader="dot" w:pos="9264"/>
        </w:tabs>
        <w:ind w:left="441"/>
        <w:rPr>
          <w:color w:val="auto"/>
          <w:highlight w:val="none"/>
        </w:rPr>
      </w:pPr>
      <w:r>
        <w:rPr>
          <w:color w:val="auto"/>
          <w:highlight w:val="none"/>
        </w:rPr>
        <w:fldChar w:fldCharType="begin"/>
      </w:r>
      <w:r>
        <w:rPr>
          <w:color w:val="auto"/>
          <w:highlight w:val="none"/>
        </w:rPr>
        <w:instrText xml:space="preserve"> HYPERLINK \l "_Toc30392" </w:instrText>
      </w:r>
      <w:r>
        <w:rPr>
          <w:color w:val="auto"/>
          <w:highlight w:val="none"/>
        </w:rPr>
        <w:fldChar w:fldCharType="separate"/>
      </w:r>
      <w:r>
        <w:rPr>
          <w:rFonts w:hint="eastAsia"/>
          <w:color w:val="auto"/>
          <w:highlight w:val="none"/>
        </w:rPr>
        <w:t>7</w:t>
      </w:r>
      <w:r>
        <w:rPr>
          <w:rFonts w:hint="eastAsia" w:ascii="宋体" w:hAnsi="宋体"/>
          <w:color w:val="auto"/>
          <w:szCs w:val="21"/>
          <w:highlight w:val="none"/>
        </w:rPr>
        <w:t>.</w:t>
      </w:r>
      <w:r>
        <w:rPr>
          <w:rFonts w:hint="eastAsia"/>
          <w:color w:val="auto"/>
          <w:highlight w:val="none"/>
        </w:rPr>
        <w:t>2  内装系统</w:t>
      </w:r>
      <w:r>
        <w:rPr>
          <w:color w:val="auto"/>
          <w:highlight w:val="none"/>
        </w:rPr>
        <w:tab/>
      </w:r>
      <w:r>
        <w:rPr>
          <w:color w:val="auto"/>
          <w:highlight w:val="none"/>
        </w:rPr>
        <w:fldChar w:fldCharType="begin"/>
      </w:r>
      <w:r>
        <w:rPr>
          <w:color w:val="auto"/>
          <w:highlight w:val="none"/>
        </w:rPr>
        <w:instrText xml:space="preserve"> PAGEREF _Toc30392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20"/>
        <w:tabs>
          <w:tab w:val="right" w:leader="dot" w:pos="9264"/>
        </w:tabs>
        <w:ind w:left="441"/>
        <w:rPr>
          <w:color w:val="auto"/>
          <w:highlight w:val="none"/>
        </w:rPr>
      </w:pPr>
      <w:r>
        <w:rPr>
          <w:color w:val="auto"/>
          <w:highlight w:val="none"/>
        </w:rPr>
        <w:fldChar w:fldCharType="begin"/>
      </w:r>
      <w:r>
        <w:rPr>
          <w:color w:val="auto"/>
          <w:highlight w:val="none"/>
        </w:rPr>
        <w:instrText xml:space="preserve"> HYPERLINK \l "_Toc27237" </w:instrText>
      </w:r>
      <w:r>
        <w:rPr>
          <w:color w:val="auto"/>
          <w:highlight w:val="none"/>
        </w:rPr>
        <w:fldChar w:fldCharType="separate"/>
      </w:r>
      <w:r>
        <w:rPr>
          <w:rFonts w:hint="eastAsia"/>
          <w:color w:val="auto"/>
          <w:highlight w:val="none"/>
        </w:rPr>
        <w:t>7</w:t>
      </w:r>
      <w:r>
        <w:rPr>
          <w:rFonts w:hint="eastAsia" w:ascii="仿宋" w:hAnsi="仿宋" w:eastAsia="仿宋" w:cs="仿宋"/>
          <w:color w:val="auto"/>
          <w:highlight w:val="none"/>
        </w:rPr>
        <w:t>.</w:t>
      </w:r>
      <w:r>
        <w:rPr>
          <w:rFonts w:hint="eastAsia"/>
          <w:color w:val="auto"/>
          <w:highlight w:val="none"/>
        </w:rPr>
        <w:t>3</w:t>
      </w:r>
      <w:r>
        <w:rPr>
          <w:color w:val="auto"/>
          <w:highlight w:val="none"/>
        </w:rPr>
        <w:t xml:space="preserve">  </w:t>
      </w:r>
      <w:r>
        <w:rPr>
          <w:rFonts w:hint="eastAsia"/>
          <w:color w:val="auto"/>
          <w:highlight w:val="none"/>
        </w:rPr>
        <w:t>接口与连接</w:t>
      </w:r>
      <w:r>
        <w:rPr>
          <w:color w:val="auto"/>
          <w:highlight w:val="none"/>
        </w:rPr>
        <w:tab/>
      </w:r>
      <w:r>
        <w:rPr>
          <w:color w:val="auto"/>
          <w:highlight w:val="none"/>
        </w:rPr>
        <w:fldChar w:fldCharType="begin"/>
      </w:r>
      <w:r>
        <w:rPr>
          <w:color w:val="auto"/>
          <w:highlight w:val="none"/>
        </w:rPr>
        <w:instrText xml:space="preserve"> PAGEREF _Toc27237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17"/>
        <w:tabs>
          <w:tab w:val="right" w:leader="dot" w:pos="9264"/>
          <w:tab w:val="clear" w:pos="1050"/>
          <w:tab w:val="clear" w:pos="13948"/>
        </w:tabs>
        <w:rPr>
          <w:color w:val="auto"/>
          <w:highlight w:val="none"/>
        </w:rPr>
      </w:pPr>
      <w:r>
        <w:rPr>
          <w:color w:val="auto"/>
          <w:highlight w:val="none"/>
        </w:rPr>
        <w:fldChar w:fldCharType="begin"/>
      </w:r>
      <w:r>
        <w:rPr>
          <w:color w:val="auto"/>
          <w:highlight w:val="none"/>
        </w:rPr>
        <w:instrText xml:space="preserve"> HYPERLINK \l "_Toc7880" </w:instrText>
      </w:r>
      <w:r>
        <w:rPr>
          <w:color w:val="auto"/>
          <w:highlight w:val="none"/>
        </w:rPr>
        <w:fldChar w:fldCharType="separate"/>
      </w:r>
      <w:r>
        <w:rPr>
          <w:color w:val="auto"/>
          <w:highlight w:val="none"/>
        </w:rPr>
        <w:t>8</w:t>
      </w:r>
      <w:r>
        <w:rPr>
          <w:rFonts w:hint="eastAsia"/>
          <w:color w:val="auto"/>
          <w:highlight w:val="none"/>
        </w:rPr>
        <w:t xml:space="preserve">  制造与运输</w:t>
      </w:r>
      <w:r>
        <w:rPr>
          <w:color w:val="auto"/>
          <w:highlight w:val="none"/>
        </w:rPr>
        <w:tab/>
      </w:r>
      <w:r>
        <w:rPr>
          <w:color w:val="auto"/>
          <w:highlight w:val="none"/>
        </w:rPr>
        <w:fldChar w:fldCharType="begin"/>
      </w:r>
      <w:r>
        <w:rPr>
          <w:color w:val="auto"/>
          <w:highlight w:val="none"/>
        </w:rPr>
        <w:instrText xml:space="preserve"> PAGEREF _Toc7880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pPr>
        <w:pStyle w:val="20"/>
        <w:tabs>
          <w:tab w:val="right" w:leader="dot" w:pos="9264"/>
        </w:tabs>
        <w:ind w:left="441"/>
        <w:rPr>
          <w:color w:val="auto"/>
          <w:highlight w:val="none"/>
        </w:rPr>
      </w:pPr>
      <w:r>
        <w:rPr>
          <w:color w:val="auto"/>
          <w:highlight w:val="none"/>
        </w:rPr>
        <w:fldChar w:fldCharType="begin"/>
      </w:r>
      <w:r>
        <w:rPr>
          <w:color w:val="auto"/>
          <w:highlight w:val="none"/>
        </w:rPr>
        <w:instrText xml:space="preserve"> HYPERLINK \l "_Toc21515" </w:instrText>
      </w:r>
      <w:r>
        <w:rPr>
          <w:color w:val="auto"/>
          <w:highlight w:val="none"/>
        </w:rPr>
        <w:fldChar w:fldCharType="separate"/>
      </w:r>
      <w:r>
        <w:rPr>
          <w:rFonts w:hint="eastAsia"/>
          <w:color w:val="auto"/>
          <w:highlight w:val="none"/>
        </w:rPr>
        <w:t>8</w:t>
      </w:r>
      <w:r>
        <w:rPr>
          <w:rFonts w:hint="eastAsia" w:ascii="宋体" w:hAnsi="宋体"/>
          <w:color w:val="auto"/>
          <w:szCs w:val="21"/>
          <w:highlight w:val="none"/>
        </w:rPr>
        <w:t>.</w:t>
      </w:r>
      <w:r>
        <w:rPr>
          <w:color w:val="auto"/>
          <w:highlight w:val="none"/>
        </w:rPr>
        <w:t>1</w:t>
      </w:r>
      <w:r>
        <w:rPr>
          <w:rFonts w:hint="eastAsia"/>
          <w:color w:val="auto"/>
          <w:highlight w:val="none"/>
        </w:rPr>
        <w:t xml:space="preserve">  一般规定</w:t>
      </w:r>
      <w:r>
        <w:rPr>
          <w:color w:val="auto"/>
          <w:highlight w:val="none"/>
        </w:rPr>
        <w:tab/>
      </w:r>
      <w:r>
        <w:rPr>
          <w:color w:val="auto"/>
          <w:highlight w:val="none"/>
        </w:rPr>
        <w:fldChar w:fldCharType="begin"/>
      </w:r>
      <w:r>
        <w:rPr>
          <w:color w:val="auto"/>
          <w:highlight w:val="none"/>
        </w:rPr>
        <w:instrText xml:space="preserve"> PAGEREF _Toc21515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pPr>
        <w:pStyle w:val="20"/>
        <w:tabs>
          <w:tab w:val="right" w:leader="dot" w:pos="9264"/>
        </w:tabs>
        <w:ind w:left="441"/>
        <w:rPr>
          <w:color w:val="auto"/>
          <w:highlight w:val="none"/>
        </w:rPr>
      </w:pPr>
      <w:r>
        <w:rPr>
          <w:color w:val="auto"/>
          <w:highlight w:val="none"/>
        </w:rPr>
        <w:fldChar w:fldCharType="begin"/>
      </w:r>
      <w:r>
        <w:rPr>
          <w:color w:val="auto"/>
          <w:highlight w:val="none"/>
        </w:rPr>
        <w:instrText xml:space="preserve"> HYPERLINK \l "_Toc31275" </w:instrText>
      </w:r>
      <w:r>
        <w:rPr>
          <w:color w:val="auto"/>
          <w:highlight w:val="none"/>
        </w:rPr>
        <w:fldChar w:fldCharType="separate"/>
      </w:r>
      <w:r>
        <w:rPr>
          <w:rFonts w:hint="eastAsia"/>
          <w:color w:val="auto"/>
          <w:highlight w:val="none"/>
        </w:rPr>
        <w:t>8</w:t>
      </w:r>
      <w:r>
        <w:rPr>
          <w:rFonts w:hint="eastAsia" w:ascii="宋体" w:hAnsi="宋体"/>
          <w:color w:val="auto"/>
          <w:szCs w:val="21"/>
          <w:highlight w:val="none"/>
        </w:rPr>
        <w:t>.</w:t>
      </w:r>
      <w:r>
        <w:rPr>
          <w:rFonts w:hint="eastAsia"/>
          <w:color w:val="auto"/>
          <w:highlight w:val="none"/>
        </w:rPr>
        <w:t>2  模具、钢筋及预埋件</w:t>
      </w:r>
      <w:r>
        <w:rPr>
          <w:color w:val="auto"/>
          <w:highlight w:val="none"/>
        </w:rPr>
        <w:tab/>
      </w:r>
      <w:r>
        <w:rPr>
          <w:color w:val="auto"/>
          <w:highlight w:val="none"/>
        </w:rPr>
        <w:fldChar w:fldCharType="begin"/>
      </w:r>
      <w:r>
        <w:rPr>
          <w:color w:val="auto"/>
          <w:highlight w:val="none"/>
        </w:rPr>
        <w:instrText xml:space="preserve"> PAGEREF _Toc31275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pPr>
        <w:pStyle w:val="20"/>
        <w:tabs>
          <w:tab w:val="right" w:leader="dot" w:pos="9264"/>
        </w:tabs>
        <w:ind w:left="441"/>
        <w:rPr>
          <w:color w:val="auto"/>
          <w:highlight w:val="none"/>
        </w:rPr>
      </w:pPr>
      <w:r>
        <w:rPr>
          <w:color w:val="auto"/>
          <w:highlight w:val="none"/>
        </w:rPr>
        <w:fldChar w:fldCharType="begin"/>
      </w:r>
      <w:r>
        <w:rPr>
          <w:color w:val="auto"/>
          <w:highlight w:val="none"/>
        </w:rPr>
        <w:instrText xml:space="preserve"> HYPERLINK \l "_Toc16003" </w:instrText>
      </w:r>
      <w:r>
        <w:rPr>
          <w:color w:val="auto"/>
          <w:highlight w:val="none"/>
        </w:rPr>
        <w:fldChar w:fldCharType="separate"/>
      </w:r>
      <w:r>
        <w:rPr>
          <w:color w:val="auto"/>
          <w:highlight w:val="none"/>
        </w:rPr>
        <w:t>8</w:t>
      </w:r>
      <w:r>
        <w:rPr>
          <w:rFonts w:hint="eastAsia" w:ascii="宋体" w:hAnsi="宋体"/>
          <w:color w:val="auto"/>
          <w:szCs w:val="21"/>
          <w:highlight w:val="none"/>
        </w:rPr>
        <w:t>.</w:t>
      </w:r>
      <w:r>
        <w:rPr>
          <w:rFonts w:hint="eastAsia"/>
          <w:color w:val="auto"/>
          <w:highlight w:val="none"/>
        </w:rPr>
        <w:t>3  成型、养护及脱模</w:t>
      </w:r>
      <w:r>
        <w:rPr>
          <w:color w:val="auto"/>
          <w:highlight w:val="none"/>
        </w:rPr>
        <w:tab/>
      </w:r>
      <w:r>
        <w:rPr>
          <w:color w:val="auto"/>
          <w:highlight w:val="none"/>
        </w:rPr>
        <w:fldChar w:fldCharType="begin"/>
      </w:r>
      <w:r>
        <w:rPr>
          <w:color w:val="auto"/>
          <w:highlight w:val="none"/>
        </w:rPr>
        <w:instrText xml:space="preserve"> PAGEREF _Toc16003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pPr>
        <w:pStyle w:val="20"/>
        <w:tabs>
          <w:tab w:val="right" w:leader="dot" w:pos="9264"/>
        </w:tabs>
        <w:ind w:left="441"/>
        <w:rPr>
          <w:color w:val="auto"/>
          <w:highlight w:val="none"/>
        </w:rPr>
      </w:pPr>
      <w:r>
        <w:rPr>
          <w:color w:val="auto"/>
          <w:highlight w:val="none"/>
        </w:rPr>
        <w:fldChar w:fldCharType="begin"/>
      </w:r>
      <w:r>
        <w:rPr>
          <w:color w:val="auto"/>
          <w:highlight w:val="none"/>
        </w:rPr>
        <w:instrText xml:space="preserve"> HYPERLINK \l "_Toc6135" </w:instrText>
      </w:r>
      <w:r>
        <w:rPr>
          <w:color w:val="auto"/>
          <w:highlight w:val="none"/>
        </w:rPr>
        <w:fldChar w:fldCharType="separate"/>
      </w:r>
      <w:r>
        <w:rPr>
          <w:rFonts w:hint="eastAsia"/>
          <w:color w:val="auto"/>
          <w:highlight w:val="none"/>
        </w:rPr>
        <w:t>8</w:t>
      </w:r>
      <w:r>
        <w:rPr>
          <w:rFonts w:hint="eastAsia" w:ascii="宋体" w:hAnsi="宋体"/>
          <w:color w:val="auto"/>
          <w:szCs w:val="21"/>
          <w:highlight w:val="none"/>
        </w:rPr>
        <w:t>.</w:t>
      </w:r>
      <w:r>
        <w:rPr>
          <w:rFonts w:hint="eastAsia"/>
          <w:color w:val="auto"/>
          <w:highlight w:val="none"/>
        </w:rPr>
        <w:t>4  设备管线安装及装修</w:t>
      </w:r>
      <w:r>
        <w:rPr>
          <w:color w:val="auto"/>
          <w:highlight w:val="none"/>
        </w:rPr>
        <w:tab/>
      </w:r>
      <w:r>
        <w:rPr>
          <w:color w:val="auto"/>
          <w:highlight w:val="none"/>
        </w:rPr>
        <w:fldChar w:fldCharType="begin"/>
      </w:r>
      <w:r>
        <w:rPr>
          <w:color w:val="auto"/>
          <w:highlight w:val="none"/>
        </w:rPr>
        <w:instrText xml:space="preserve"> PAGEREF _Toc6135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pPr>
        <w:pStyle w:val="20"/>
        <w:tabs>
          <w:tab w:val="right" w:leader="dot" w:pos="9264"/>
        </w:tabs>
        <w:ind w:left="441"/>
        <w:rPr>
          <w:color w:val="auto"/>
          <w:highlight w:val="none"/>
        </w:rPr>
      </w:pPr>
      <w:r>
        <w:rPr>
          <w:color w:val="auto"/>
          <w:highlight w:val="none"/>
        </w:rPr>
        <w:fldChar w:fldCharType="begin"/>
      </w:r>
      <w:r>
        <w:rPr>
          <w:color w:val="auto"/>
          <w:highlight w:val="none"/>
        </w:rPr>
        <w:instrText xml:space="preserve"> HYPERLINK \l "_Toc15103" </w:instrText>
      </w:r>
      <w:r>
        <w:rPr>
          <w:color w:val="auto"/>
          <w:highlight w:val="none"/>
        </w:rPr>
        <w:fldChar w:fldCharType="separate"/>
      </w:r>
      <w:r>
        <w:rPr>
          <w:rFonts w:hint="eastAsia"/>
          <w:color w:val="auto"/>
          <w:highlight w:val="none"/>
        </w:rPr>
        <w:t>8</w:t>
      </w:r>
      <w:r>
        <w:rPr>
          <w:rFonts w:hint="eastAsia" w:ascii="宋体" w:hAnsi="宋体"/>
          <w:color w:val="auto"/>
          <w:szCs w:val="21"/>
          <w:highlight w:val="none"/>
        </w:rPr>
        <w:t>.</w:t>
      </w:r>
      <w:r>
        <w:rPr>
          <w:rFonts w:hint="eastAsia"/>
          <w:color w:val="auto"/>
          <w:highlight w:val="none"/>
        </w:rPr>
        <w:t xml:space="preserve">5  </w:t>
      </w:r>
      <w:r>
        <w:rPr>
          <w:color w:val="auto"/>
          <w:highlight w:val="none"/>
        </w:rPr>
        <w:t>出厂检验及资料交付</w:t>
      </w:r>
      <w:r>
        <w:rPr>
          <w:color w:val="auto"/>
          <w:highlight w:val="none"/>
        </w:rPr>
        <w:tab/>
      </w:r>
      <w:r>
        <w:rPr>
          <w:color w:val="auto"/>
          <w:highlight w:val="none"/>
        </w:rPr>
        <w:fldChar w:fldCharType="begin"/>
      </w:r>
      <w:r>
        <w:rPr>
          <w:color w:val="auto"/>
          <w:highlight w:val="none"/>
        </w:rPr>
        <w:instrText xml:space="preserve"> PAGEREF _Toc15103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pPr>
        <w:pStyle w:val="20"/>
        <w:tabs>
          <w:tab w:val="right" w:leader="dot" w:pos="9264"/>
        </w:tabs>
        <w:ind w:left="441"/>
        <w:rPr>
          <w:color w:val="auto"/>
          <w:highlight w:val="none"/>
        </w:rPr>
      </w:pPr>
      <w:r>
        <w:rPr>
          <w:color w:val="auto"/>
          <w:highlight w:val="none"/>
        </w:rPr>
        <w:fldChar w:fldCharType="begin"/>
      </w:r>
      <w:r>
        <w:rPr>
          <w:color w:val="auto"/>
          <w:highlight w:val="none"/>
        </w:rPr>
        <w:instrText xml:space="preserve"> HYPERLINK \l "_Toc20604" </w:instrText>
      </w:r>
      <w:r>
        <w:rPr>
          <w:color w:val="auto"/>
          <w:highlight w:val="none"/>
        </w:rPr>
        <w:fldChar w:fldCharType="separate"/>
      </w:r>
      <w:r>
        <w:rPr>
          <w:color w:val="auto"/>
          <w:highlight w:val="none"/>
        </w:rPr>
        <w:t>8</w:t>
      </w:r>
      <w:r>
        <w:rPr>
          <w:rFonts w:hint="eastAsia" w:ascii="宋体" w:hAnsi="宋体"/>
          <w:color w:val="auto"/>
          <w:szCs w:val="21"/>
          <w:highlight w:val="none"/>
        </w:rPr>
        <w:t>.</w:t>
      </w:r>
      <w:r>
        <w:rPr>
          <w:rFonts w:hint="eastAsia"/>
          <w:color w:val="auto"/>
          <w:highlight w:val="none"/>
        </w:rPr>
        <w:t>6  吊装、运输、存放及防护</w:t>
      </w:r>
      <w:r>
        <w:rPr>
          <w:color w:val="auto"/>
          <w:highlight w:val="none"/>
        </w:rPr>
        <w:tab/>
      </w:r>
      <w:r>
        <w:rPr>
          <w:color w:val="auto"/>
          <w:highlight w:val="none"/>
        </w:rPr>
        <w:fldChar w:fldCharType="begin"/>
      </w:r>
      <w:r>
        <w:rPr>
          <w:color w:val="auto"/>
          <w:highlight w:val="none"/>
        </w:rPr>
        <w:instrText xml:space="preserve"> PAGEREF _Toc20604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pPr>
        <w:pStyle w:val="17"/>
        <w:tabs>
          <w:tab w:val="right" w:leader="dot" w:pos="9264"/>
          <w:tab w:val="clear" w:pos="1050"/>
          <w:tab w:val="clear" w:pos="13948"/>
        </w:tabs>
        <w:rPr>
          <w:color w:val="auto"/>
          <w:highlight w:val="none"/>
        </w:rPr>
      </w:pPr>
      <w:r>
        <w:rPr>
          <w:color w:val="auto"/>
          <w:highlight w:val="none"/>
        </w:rPr>
        <w:fldChar w:fldCharType="begin"/>
      </w:r>
      <w:r>
        <w:rPr>
          <w:color w:val="auto"/>
          <w:highlight w:val="none"/>
        </w:rPr>
        <w:instrText xml:space="preserve"> HYPERLINK \l "_Toc20984" </w:instrText>
      </w:r>
      <w:r>
        <w:rPr>
          <w:color w:val="auto"/>
          <w:highlight w:val="none"/>
        </w:rPr>
        <w:fldChar w:fldCharType="separate"/>
      </w:r>
      <w:r>
        <w:rPr>
          <w:rFonts w:hint="eastAsia"/>
          <w:color w:val="auto"/>
          <w:highlight w:val="none"/>
        </w:rPr>
        <w:t>9</w:t>
      </w:r>
      <w:r>
        <w:rPr>
          <w:color w:val="auto"/>
          <w:highlight w:val="none"/>
        </w:rPr>
        <w:t xml:space="preserve"> </w:t>
      </w:r>
      <w:r>
        <w:rPr>
          <w:rFonts w:hint="eastAsia"/>
          <w:color w:val="auto"/>
          <w:highlight w:val="none"/>
        </w:rPr>
        <w:t xml:space="preserve"> 安装与连接</w:t>
      </w:r>
      <w:r>
        <w:rPr>
          <w:color w:val="auto"/>
          <w:highlight w:val="none"/>
        </w:rPr>
        <w:tab/>
      </w:r>
      <w:r>
        <w:rPr>
          <w:color w:val="auto"/>
          <w:highlight w:val="none"/>
        </w:rPr>
        <w:fldChar w:fldCharType="begin"/>
      </w:r>
      <w:r>
        <w:rPr>
          <w:color w:val="auto"/>
          <w:highlight w:val="none"/>
        </w:rPr>
        <w:instrText xml:space="preserve"> PAGEREF _Toc20984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pPr>
        <w:pStyle w:val="20"/>
        <w:tabs>
          <w:tab w:val="right" w:leader="dot" w:pos="9264"/>
        </w:tabs>
        <w:ind w:left="441"/>
        <w:rPr>
          <w:color w:val="auto"/>
          <w:highlight w:val="none"/>
        </w:rPr>
      </w:pPr>
      <w:r>
        <w:rPr>
          <w:color w:val="auto"/>
          <w:highlight w:val="none"/>
        </w:rPr>
        <w:fldChar w:fldCharType="begin"/>
      </w:r>
      <w:r>
        <w:rPr>
          <w:color w:val="auto"/>
          <w:highlight w:val="none"/>
        </w:rPr>
        <w:instrText xml:space="preserve"> HYPERLINK \l "_Toc3733" </w:instrText>
      </w:r>
      <w:r>
        <w:rPr>
          <w:color w:val="auto"/>
          <w:highlight w:val="none"/>
        </w:rPr>
        <w:fldChar w:fldCharType="separate"/>
      </w:r>
      <w:r>
        <w:rPr>
          <w:rFonts w:hint="eastAsia"/>
          <w:color w:val="auto"/>
          <w:highlight w:val="none"/>
        </w:rPr>
        <w:t>9</w:t>
      </w:r>
      <w:r>
        <w:rPr>
          <w:rFonts w:hint="eastAsia" w:ascii="宋体" w:hAnsi="宋体" w:cs="宋体"/>
          <w:color w:val="auto"/>
          <w:highlight w:val="none"/>
        </w:rPr>
        <w:t>.</w:t>
      </w:r>
      <w:r>
        <w:rPr>
          <w:rFonts w:hint="eastAsia"/>
          <w:color w:val="auto"/>
          <w:highlight w:val="none"/>
        </w:rPr>
        <w:t>1  一般规定</w:t>
      </w:r>
      <w:r>
        <w:rPr>
          <w:color w:val="auto"/>
          <w:highlight w:val="none"/>
        </w:rPr>
        <w:tab/>
      </w:r>
      <w:r>
        <w:rPr>
          <w:color w:val="auto"/>
          <w:highlight w:val="none"/>
        </w:rPr>
        <w:fldChar w:fldCharType="begin"/>
      </w:r>
      <w:r>
        <w:rPr>
          <w:color w:val="auto"/>
          <w:highlight w:val="none"/>
        </w:rPr>
        <w:instrText xml:space="preserve"> PAGEREF _Toc3733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pPr>
        <w:pStyle w:val="20"/>
        <w:tabs>
          <w:tab w:val="right" w:leader="dot" w:pos="9264"/>
        </w:tabs>
        <w:ind w:left="441"/>
        <w:rPr>
          <w:color w:val="auto"/>
          <w:highlight w:val="none"/>
        </w:rPr>
      </w:pPr>
      <w:r>
        <w:rPr>
          <w:color w:val="auto"/>
          <w:highlight w:val="none"/>
        </w:rPr>
        <w:fldChar w:fldCharType="begin"/>
      </w:r>
      <w:r>
        <w:rPr>
          <w:color w:val="auto"/>
          <w:highlight w:val="none"/>
        </w:rPr>
        <w:instrText xml:space="preserve"> HYPERLINK \l "_Toc16572" </w:instrText>
      </w:r>
      <w:r>
        <w:rPr>
          <w:color w:val="auto"/>
          <w:highlight w:val="none"/>
        </w:rPr>
        <w:fldChar w:fldCharType="separate"/>
      </w:r>
      <w:r>
        <w:rPr>
          <w:rFonts w:hint="eastAsia"/>
          <w:color w:val="auto"/>
          <w:highlight w:val="none"/>
        </w:rPr>
        <w:t>9</w:t>
      </w:r>
      <w:r>
        <w:rPr>
          <w:rFonts w:hint="eastAsia" w:ascii="仿宋" w:hAnsi="仿宋" w:eastAsia="仿宋" w:cs="仿宋"/>
          <w:color w:val="auto"/>
          <w:highlight w:val="none"/>
        </w:rPr>
        <w:t>.</w:t>
      </w:r>
      <w:r>
        <w:rPr>
          <w:rFonts w:hint="eastAsia"/>
          <w:color w:val="auto"/>
          <w:highlight w:val="none"/>
        </w:rPr>
        <w:t>2</w:t>
      </w:r>
      <w:r>
        <w:rPr>
          <w:color w:val="auto"/>
          <w:highlight w:val="none"/>
        </w:rPr>
        <w:t xml:space="preserve">  </w:t>
      </w:r>
      <w:r>
        <w:rPr>
          <w:rFonts w:hint="eastAsia"/>
          <w:color w:val="auto"/>
          <w:highlight w:val="none"/>
        </w:rPr>
        <w:t>现场</w:t>
      </w:r>
      <w:r>
        <w:rPr>
          <w:color w:val="auto"/>
          <w:highlight w:val="none"/>
        </w:rPr>
        <w:t>安装</w:t>
      </w:r>
      <w:r>
        <w:rPr>
          <w:color w:val="auto"/>
          <w:highlight w:val="none"/>
        </w:rPr>
        <w:tab/>
      </w:r>
      <w:r>
        <w:rPr>
          <w:color w:val="auto"/>
          <w:highlight w:val="none"/>
        </w:rPr>
        <w:fldChar w:fldCharType="begin"/>
      </w:r>
      <w:r>
        <w:rPr>
          <w:color w:val="auto"/>
          <w:highlight w:val="none"/>
        </w:rPr>
        <w:instrText xml:space="preserve"> PAGEREF _Toc16572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pPr>
        <w:pStyle w:val="20"/>
        <w:tabs>
          <w:tab w:val="right" w:leader="dot" w:pos="9264"/>
        </w:tabs>
        <w:ind w:left="441"/>
        <w:rPr>
          <w:color w:val="auto"/>
          <w:highlight w:val="none"/>
        </w:rPr>
      </w:pPr>
      <w:r>
        <w:rPr>
          <w:color w:val="auto"/>
          <w:highlight w:val="none"/>
        </w:rPr>
        <w:fldChar w:fldCharType="begin"/>
      </w:r>
      <w:r>
        <w:rPr>
          <w:color w:val="auto"/>
          <w:highlight w:val="none"/>
        </w:rPr>
        <w:instrText xml:space="preserve"> HYPERLINK \l "_Toc12481" </w:instrText>
      </w:r>
      <w:r>
        <w:rPr>
          <w:color w:val="auto"/>
          <w:highlight w:val="none"/>
        </w:rPr>
        <w:fldChar w:fldCharType="separate"/>
      </w:r>
      <w:r>
        <w:rPr>
          <w:rFonts w:hint="eastAsia"/>
          <w:color w:val="auto"/>
          <w:highlight w:val="none"/>
        </w:rPr>
        <w:t>9</w:t>
      </w:r>
      <w:r>
        <w:rPr>
          <w:rFonts w:hint="eastAsia" w:ascii="仿宋" w:hAnsi="仿宋" w:eastAsia="仿宋" w:cs="仿宋"/>
          <w:color w:val="auto"/>
          <w:highlight w:val="none"/>
        </w:rPr>
        <w:t>.</w:t>
      </w:r>
      <w:r>
        <w:rPr>
          <w:rFonts w:hint="eastAsia"/>
          <w:color w:val="auto"/>
          <w:highlight w:val="none"/>
        </w:rPr>
        <w:t>3</w:t>
      </w:r>
      <w:r>
        <w:rPr>
          <w:color w:val="auto"/>
          <w:highlight w:val="none"/>
        </w:rPr>
        <w:t xml:space="preserve">  </w:t>
      </w:r>
      <w:r>
        <w:rPr>
          <w:rFonts w:hint="eastAsia"/>
          <w:color w:val="auto"/>
          <w:highlight w:val="none"/>
        </w:rPr>
        <w:t>现场连接</w:t>
      </w:r>
      <w:r>
        <w:rPr>
          <w:color w:val="auto"/>
          <w:highlight w:val="none"/>
        </w:rPr>
        <w:tab/>
      </w:r>
      <w:r>
        <w:rPr>
          <w:color w:val="auto"/>
          <w:highlight w:val="none"/>
        </w:rPr>
        <w:fldChar w:fldCharType="begin"/>
      </w:r>
      <w:r>
        <w:rPr>
          <w:color w:val="auto"/>
          <w:highlight w:val="none"/>
        </w:rPr>
        <w:instrText xml:space="preserve"> PAGEREF _Toc12481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pPr>
        <w:pStyle w:val="17"/>
        <w:tabs>
          <w:tab w:val="right" w:leader="dot" w:pos="9264"/>
          <w:tab w:val="clear" w:pos="1050"/>
          <w:tab w:val="clear" w:pos="13948"/>
        </w:tabs>
        <w:rPr>
          <w:color w:val="auto"/>
          <w:highlight w:val="none"/>
        </w:rPr>
      </w:pPr>
      <w:r>
        <w:rPr>
          <w:color w:val="auto"/>
          <w:highlight w:val="none"/>
        </w:rPr>
        <w:fldChar w:fldCharType="begin"/>
      </w:r>
      <w:r>
        <w:rPr>
          <w:color w:val="auto"/>
          <w:highlight w:val="none"/>
        </w:rPr>
        <w:instrText xml:space="preserve"> HYPERLINK \l "_Toc20980" </w:instrText>
      </w:r>
      <w:r>
        <w:rPr>
          <w:color w:val="auto"/>
          <w:highlight w:val="none"/>
        </w:rPr>
        <w:fldChar w:fldCharType="separate"/>
      </w:r>
      <w:r>
        <w:rPr>
          <w:color w:val="auto"/>
          <w:highlight w:val="none"/>
        </w:rPr>
        <w:t>1</w:t>
      </w:r>
      <w:r>
        <w:rPr>
          <w:rFonts w:hint="eastAsia"/>
          <w:color w:val="auto"/>
          <w:highlight w:val="none"/>
        </w:rPr>
        <w:t>0  质量验收</w:t>
      </w:r>
      <w:r>
        <w:rPr>
          <w:color w:val="auto"/>
          <w:highlight w:val="none"/>
        </w:rPr>
        <w:tab/>
      </w:r>
      <w:r>
        <w:rPr>
          <w:color w:val="auto"/>
          <w:highlight w:val="none"/>
        </w:rPr>
        <w:fldChar w:fldCharType="begin"/>
      </w:r>
      <w:r>
        <w:rPr>
          <w:color w:val="auto"/>
          <w:highlight w:val="none"/>
        </w:rPr>
        <w:instrText xml:space="preserve"> PAGEREF _Toc20980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pPr>
        <w:pStyle w:val="20"/>
        <w:tabs>
          <w:tab w:val="right" w:leader="dot" w:pos="9264"/>
        </w:tabs>
        <w:ind w:left="441"/>
        <w:rPr>
          <w:color w:val="auto"/>
          <w:highlight w:val="none"/>
        </w:rPr>
      </w:pPr>
      <w:r>
        <w:rPr>
          <w:color w:val="auto"/>
          <w:highlight w:val="none"/>
        </w:rPr>
        <w:fldChar w:fldCharType="begin"/>
      </w:r>
      <w:r>
        <w:rPr>
          <w:color w:val="auto"/>
          <w:highlight w:val="none"/>
        </w:rPr>
        <w:instrText xml:space="preserve"> HYPERLINK \l "_Toc19585" </w:instrText>
      </w:r>
      <w:r>
        <w:rPr>
          <w:color w:val="auto"/>
          <w:highlight w:val="none"/>
        </w:rPr>
        <w:fldChar w:fldCharType="separate"/>
      </w:r>
      <w:r>
        <w:rPr>
          <w:color w:val="auto"/>
          <w:highlight w:val="none"/>
        </w:rPr>
        <w:t>1</w:t>
      </w:r>
      <w:r>
        <w:rPr>
          <w:rFonts w:hint="eastAsia"/>
          <w:color w:val="auto"/>
          <w:highlight w:val="none"/>
        </w:rPr>
        <w:t>0</w:t>
      </w:r>
      <w:r>
        <w:rPr>
          <w:rFonts w:hint="eastAsia" w:ascii="宋体" w:hAnsi="宋体"/>
          <w:color w:val="auto"/>
          <w:szCs w:val="21"/>
          <w:highlight w:val="none"/>
        </w:rPr>
        <w:t>.</w:t>
      </w:r>
      <w:r>
        <w:rPr>
          <w:color w:val="auto"/>
          <w:highlight w:val="none"/>
        </w:rPr>
        <w:t>1</w:t>
      </w:r>
      <w:r>
        <w:rPr>
          <w:rFonts w:hint="eastAsia"/>
          <w:color w:val="auto"/>
          <w:highlight w:val="none"/>
        </w:rPr>
        <w:t xml:space="preserve">  一般规定</w:t>
      </w:r>
      <w:r>
        <w:rPr>
          <w:color w:val="auto"/>
          <w:highlight w:val="none"/>
        </w:rPr>
        <w:tab/>
      </w:r>
      <w:r>
        <w:rPr>
          <w:color w:val="auto"/>
          <w:highlight w:val="none"/>
        </w:rPr>
        <w:fldChar w:fldCharType="begin"/>
      </w:r>
      <w:r>
        <w:rPr>
          <w:color w:val="auto"/>
          <w:highlight w:val="none"/>
        </w:rPr>
        <w:instrText xml:space="preserve"> PAGEREF _Toc19585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pPr>
        <w:pStyle w:val="20"/>
        <w:tabs>
          <w:tab w:val="right" w:leader="dot" w:pos="9264"/>
        </w:tabs>
        <w:ind w:left="441"/>
        <w:rPr>
          <w:color w:val="auto"/>
          <w:highlight w:val="none"/>
        </w:rPr>
      </w:pPr>
      <w:r>
        <w:rPr>
          <w:color w:val="auto"/>
          <w:highlight w:val="none"/>
        </w:rPr>
        <w:fldChar w:fldCharType="begin"/>
      </w:r>
      <w:r>
        <w:rPr>
          <w:color w:val="auto"/>
          <w:highlight w:val="none"/>
        </w:rPr>
        <w:instrText xml:space="preserve"> HYPERLINK \l "_Toc27805" </w:instrText>
      </w:r>
      <w:r>
        <w:rPr>
          <w:color w:val="auto"/>
          <w:highlight w:val="none"/>
        </w:rPr>
        <w:fldChar w:fldCharType="separate"/>
      </w:r>
      <w:r>
        <w:rPr>
          <w:color w:val="auto"/>
          <w:highlight w:val="none"/>
        </w:rPr>
        <w:t>1</w:t>
      </w:r>
      <w:r>
        <w:rPr>
          <w:rFonts w:hint="eastAsia"/>
          <w:color w:val="auto"/>
          <w:highlight w:val="none"/>
        </w:rPr>
        <w:t>0</w:t>
      </w:r>
      <w:r>
        <w:rPr>
          <w:rFonts w:hint="eastAsia" w:ascii="宋体" w:hAnsi="宋体"/>
          <w:color w:val="auto"/>
          <w:szCs w:val="21"/>
          <w:highlight w:val="none"/>
        </w:rPr>
        <w:t>.</w:t>
      </w:r>
      <w:r>
        <w:rPr>
          <w:rFonts w:hint="eastAsia"/>
          <w:color w:val="auto"/>
          <w:highlight w:val="none"/>
        </w:rPr>
        <w:t>2  模块单元进场验收</w:t>
      </w:r>
      <w:r>
        <w:rPr>
          <w:color w:val="auto"/>
          <w:highlight w:val="none"/>
        </w:rPr>
        <w:tab/>
      </w:r>
      <w:r>
        <w:rPr>
          <w:color w:val="auto"/>
          <w:highlight w:val="none"/>
        </w:rPr>
        <w:fldChar w:fldCharType="begin"/>
      </w:r>
      <w:r>
        <w:rPr>
          <w:color w:val="auto"/>
          <w:highlight w:val="none"/>
        </w:rPr>
        <w:instrText xml:space="preserve"> PAGEREF _Toc27805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pPr>
        <w:pStyle w:val="20"/>
        <w:tabs>
          <w:tab w:val="right" w:leader="dot" w:pos="9264"/>
        </w:tabs>
        <w:ind w:left="441"/>
        <w:rPr>
          <w:color w:val="auto"/>
          <w:highlight w:val="none"/>
        </w:rPr>
      </w:pPr>
      <w:r>
        <w:rPr>
          <w:color w:val="auto"/>
          <w:highlight w:val="none"/>
        </w:rPr>
        <w:fldChar w:fldCharType="begin"/>
      </w:r>
      <w:r>
        <w:rPr>
          <w:color w:val="auto"/>
          <w:highlight w:val="none"/>
        </w:rPr>
        <w:instrText xml:space="preserve"> HYPERLINK \l "_Toc7795" </w:instrText>
      </w:r>
      <w:r>
        <w:rPr>
          <w:color w:val="auto"/>
          <w:highlight w:val="none"/>
        </w:rPr>
        <w:fldChar w:fldCharType="separate"/>
      </w:r>
      <w:r>
        <w:rPr>
          <w:color w:val="auto"/>
          <w:highlight w:val="none"/>
        </w:rPr>
        <w:t>1</w:t>
      </w:r>
      <w:r>
        <w:rPr>
          <w:rFonts w:hint="eastAsia"/>
          <w:color w:val="auto"/>
          <w:highlight w:val="none"/>
        </w:rPr>
        <w:t>0</w:t>
      </w:r>
      <w:r>
        <w:rPr>
          <w:rFonts w:hint="eastAsia" w:ascii="宋体" w:hAnsi="宋体"/>
          <w:color w:val="auto"/>
          <w:szCs w:val="21"/>
          <w:highlight w:val="none"/>
        </w:rPr>
        <w:t>.</w:t>
      </w:r>
      <w:r>
        <w:rPr>
          <w:rFonts w:hint="eastAsia"/>
          <w:color w:val="auto"/>
          <w:highlight w:val="none"/>
        </w:rPr>
        <w:t>3  模块单元安装与连接</w:t>
      </w:r>
      <w:r>
        <w:rPr>
          <w:color w:val="auto"/>
          <w:highlight w:val="none"/>
        </w:rPr>
        <w:tab/>
      </w:r>
      <w:r>
        <w:rPr>
          <w:color w:val="auto"/>
          <w:highlight w:val="none"/>
        </w:rPr>
        <w:fldChar w:fldCharType="begin"/>
      </w:r>
      <w:r>
        <w:rPr>
          <w:color w:val="auto"/>
          <w:highlight w:val="none"/>
        </w:rPr>
        <w:instrText xml:space="preserve"> PAGEREF _Toc7795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pPr>
        <w:pStyle w:val="20"/>
        <w:tabs>
          <w:tab w:val="right" w:leader="dot" w:pos="9264"/>
        </w:tabs>
        <w:ind w:left="441"/>
        <w:rPr>
          <w:color w:val="auto"/>
          <w:highlight w:val="none"/>
        </w:rPr>
      </w:pPr>
      <w:r>
        <w:rPr>
          <w:color w:val="auto"/>
          <w:highlight w:val="none"/>
        </w:rPr>
        <w:fldChar w:fldCharType="begin"/>
      </w:r>
      <w:r>
        <w:rPr>
          <w:color w:val="auto"/>
          <w:highlight w:val="none"/>
        </w:rPr>
        <w:instrText xml:space="preserve"> HYPERLINK \l "_Toc19999" </w:instrText>
      </w:r>
      <w:r>
        <w:rPr>
          <w:color w:val="auto"/>
          <w:highlight w:val="none"/>
        </w:rPr>
        <w:fldChar w:fldCharType="separate"/>
      </w:r>
      <w:r>
        <w:rPr>
          <w:color w:val="auto"/>
          <w:highlight w:val="none"/>
        </w:rPr>
        <w:t>1</w:t>
      </w:r>
      <w:r>
        <w:rPr>
          <w:rFonts w:hint="eastAsia"/>
          <w:color w:val="auto"/>
          <w:highlight w:val="none"/>
        </w:rPr>
        <w:t>0</w:t>
      </w:r>
      <w:r>
        <w:rPr>
          <w:rFonts w:hint="eastAsia" w:ascii="宋体" w:hAnsi="宋体"/>
          <w:color w:val="auto"/>
          <w:szCs w:val="21"/>
          <w:highlight w:val="none"/>
        </w:rPr>
        <w:t>.</w:t>
      </w:r>
      <w:r>
        <w:rPr>
          <w:rFonts w:hint="eastAsia"/>
          <w:color w:val="auto"/>
          <w:highlight w:val="none"/>
        </w:rPr>
        <w:t>4  设备管线安装</w:t>
      </w:r>
      <w:r>
        <w:rPr>
          <w:color w:val="auto"/>
          <w:highlight w:val="none"/>
        </w:rPr>
        <w:tab/>
      </w:r>
      <w:r>
        <w:rPr>
          <w:color w:val="auto"/>
          <w:highlight w:val="none"/>
        </w:rPr>
        <w:fldChar w:fldCharType="begin"/>
      </w:r>
      <w:r>
        <w:rPr>
          <w:color w:val="auto"/>
          <w:highlight w:val="none"/>
        </w:rPr>
        <w:instrText xml:space="preserve"> PAGEREF _Toc19999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pPr>
        <w:pStyle w:val="17"/>
        <w:tabs>
          <w:tab w:val="right" w:leader="dot" w:pos="9264"/>
          <w:tab w:val="clear" w:pos="1050"/>
          <w:tab w:val="clear" w:pos="13948"/>
        </w:tabs>
        <w:rPr>
          <w:color w:val="auto"/>
          <w:highlight w:val="none"/>
        </w:rPr>
      </w:pPr>
      <w:r>
        <w:rPr>
          <w:color w:val="auto"/>
          <w:highlight w:val="none"/>
        </w:rPr>
        <w:fldChar w:fldCharType="begin"/>
      </w:r>
      <w:r>
        <w:rPr>
          <w:color w:val="auto"/>
          <w:highlight w:val="none"/>
        </w:rPr>
        <w:instrText xml:space="preserve"> HYPERLINK \l "_Toc15488" </w:instrText>
      </w:r>
      <w:r>
        <w:rPr>
          <w:color w:val="auto"/>
          <w:highlight w:val="none"/>
        </w:rPr>
        <w:fldChar w:fldCharType="separate"/>
      </w:r>
      <w:r>
        <w:rPr>
          <w:rFonts w:hint="eastAsia"/>
          <w:color w:val="auto"/>
          <w:highlight w:val="none"/>
        </w:rPr>
        <w:t>11  管理与维护</w:t>
      </w:r>
      <w:r>
        <w:rPr>
          <w:color w:val="auto"/>
          <w:highlight w:val="none"/>
        </w:rPr>
        <w:tab/>
      </w:r>
      <w:r>
        <w:rPr>
          <w:color w:val="auto"/>
          <w:highlight w:val="none"/>
        </w:rPr>
        <w:fldChar w:fldCharType="begin"/>
      </w:r>
      <w:r>
        <w:rPr>
          <w:color w:val="auto"/>
          <w:highlight w:val="none"/>
        </w:rPr>
        <w:instrText xml:space="preserve"> PAGEREF _Toc15488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pPr>
        <w:pStyle w:val="17"/>
        <w:tabs>
          <w:tab w:val="right" w:leader="dot" w:pos="9264"/>
          <w:tab w:val="clear" w:pos="1050"/>
          <w:tab w:val="clear" w:pos="13948"/>
        </w:tabs>
        <w:rPr>
          <w:color w:val="auto"/>
          <w:highlight w:val="none"/>
        </w:rPr>
      </w:pPr>
      <w:r>
        <w:rPr>
          <w:color w:val="auto"/>
          <w:highlight w:val="none"/>
        </w:rPr>
        <w:fldChar w:fldCharType="begin"/>
      </w:r>
      <w:r>
        <w:rPr>
          <w:color w:val="auto"/>
          <w:highlight w:val="none"/>
        </w:rPr>
        <w:instrText xml:space="preserve"> HYPERLINK \l "_Toc21089" </w:instrText>
      </w:r>
      <w:r>
        <w:rPr>
          <w:color w:val="auto"/>
          <w:highlight w:val="none"/>
        </w:rPr>
        <w:fldChar w:fldCharType="separate"/>
      </w:r>
      <w:r>
        <w:rPr>
          <w:color w:val="auto"/>
          <w:highlight w:val="none"/>
        </w:rPr>
        <w:t>12</w:t>
      </w:r>
      <w:r>
        <w:rPr>
          <w:rFonts w:hint="eastAsia"/>
          <w:color w:val="auto"/>
          <w:highlight w:val="none"/>
        </w:rPr>
        <w:t xml:space="preserve">  智能建造</w:t>
      </w:r>
      <w:r>
        <w:rPr>
          <w:color w:val="auto"/>
          <w:highlight w:val="none"/>
        </w:rPr>
        <w:tab/>
      </w:r>
      <w:r>
        <w:rPr>
          <w:color w:val="auto"/>
          <w:highlight w:val="none"/>
        </w:rPr>
        <w:fldChar w:fldCharType="begin"/>
      </w:r>
      <w:r>
        <w:rPr>
          <w:color w:val="auto"/>
          <w:highlight w:val="none"/>
        </w:rPr>
        <w:instrText xml:space="preserve"> PAGEREF _Toc21089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pPr>
        <w:pStyle w:val="20"/>
        <w:tabs>
          <w:tab w:val="right" w:leader="dot" w:pos="9264"/>
        </w:tabs>
        <w:ind w:left="441"/>
        <w:rPr>
          <w:color w:val="auto"/>
          <w:highlight w:val="none"/>
        </w:rPr>
      </w:pPr>
      <w:r>
        <w:rPr>
          <w:color w:val="auto"/>
          <w:highlight w:val="none"/>
        </w:rPr>
        <w:fldChar w:fldCharType="begin"/>
      </w:r>
      <w:r>
        <w:rPr>
          <w:color w:val="auto"/>
          <w:highlight w:val="none"/>
        </w:rPr>
        <w:instrText xml:space="preserve"> HYPERLINK \l "_Toc8741" </w:instrText>
      </w:r>
      <w:r>
        <w:rPr>
          <w:color w:val="auto"/>
          <w:highlight w:val="none"/>
        </w:rPr>
        <w:fldChar w:fldCharType="separate"/>
      </w:r>
      <w:r>
        <w:rPr>
          <w:color w:val="auto"/>
          <w:highlight w:val="none"/>
        </w:rPr>
        <w:t>12</w:t>
      </w:r>
      <w:r>
        <w:rPr>
          <w:rFonts w:hint="eastAsia" w:ascii="宋体" w:hAnsi="宋体"/>
          <w:color w:val="auto"/>
          <w:szCs w:val="21"/>
          <w:highlight w:val="none"/>
        </w:rPr>
        <w:t>.</w:t>
      </w:r>
      <w:r>
        <w:rPr>
          <w:color w:val="auto"/>
          <w:highlight w:val="none"/>
        </w:rPr>
        <w:t>1</w:t>
      </w:r>
      <w:r>
        <w:rPr>
          <w:rFonts w:hint="eastAsia"/>
          <w:color w:val="auto"/>
          <w:highlight w:val="none"/>
        </w:rPr>
        <w:t xml:space="preserve">  一般规定</w:t>
      </w:r>
      <w:r>
        <w:rPr>
          <w:color w:val="auto"/>
          <w:highlight w:val="none"/>
        </w:rPr>
        <w:tab/>
      </w:r>
      <w:r>
        <w:rPr>
          <w:color w:val="auto"/>
          <w:highlight w:val="none"/>
        </w:rPr>
        <w:fldChar w:fldCharType="begin"/>
      </w:r>
      <w:r>
        <w:rPr>
          <w:color w:val="auto"/>
          <w:highlight w:val="none"/>
        </w:rPr>
        <w:instrText xml:space="preserve"> PAGEREF _Toc8741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pPr>
        <w:pStyle w:val="20"/>
        <w:tabs>
          <w:tab w:val="right" w:leader="dot" w:pos="9264"/>
        </w:tabs>
        <w:ind w:left="441"/>
        <w:rPr>
          <w:color w:val="auto"/>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color w:val="auto"/>
          <w:highlight w:val="none"/>
        </w:rPr>
        <w:t>12</w:t>
      </w:r>
      <w:r>
        <w:rPr>
          <w:rFonts w:hint="eastAsia" w:ascii="宋体" w:hAnsi="宋体"/>
          <w:color w:val="auto"/>
          <w:szCs w:val="21"/>
          <w:highlight w:val="none"/>
        </w:rPr>
        <w:t>.</w:t>
      </w:r>
      <w:r>
        <w:rPr>
          <w:color w:val="auto"/>
          <w:highlight w:val="none"/>
        </w:rPr>
        <w:t>2  数字化设计</w:t>
      </w:r>
      <w:r>
        <w:rPr>
          <w:color w:val="auto"/>
          <w:highlight w:val="none"/>
        </w:rPr>
        <w:tab/>
      </w:r>
      <w:r>
        <w:rPr>
          <w:color w:val="auto"/>
          <w:highlight w:val="none"/>
        </w:rPr>
        <w:fldChar w:fldCharType="begin"/>
      </w:r>
      <w:r>
        <w:rPr>
          <w:color w:val="auto"/>
          <w:highlight w:val="none"/>
        </w:rPr>
        <w:instrText xml:space="preserve"> PAGEREF _Toc8526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pPr>
        <w:pStyle w:val="20"/>
        <w:tabs>
          <w:tab w:val="right" w:leader="dot" w:pos="9264"/>
        </w:tabs>
        <w:ind w:left="441"/>
        <w:rPr>
          <w:color w:val="auto"/>
          <w:highlight w:val="none"/>
        </w:rPr>
      </w:pPr>
      <w:r>
        <w:rPr>
          <w:color w:val="auto"/>
          <w:highlight w:val="none"/>
        </w:rPr>
        <w:fldChar w:fldCharType="begin"/>
      </w:r>
      <w:r>
        <w:rPr>
          <w:color w:val="auto"/>
          <w:highlight w:val="none"/>
        </w:rPr>
        <w:instrText xml:space="preserve"> HYPERLINK \l "_Toc12389" </w:instrText>
      </w:r>
      <w:r>
        <w:rPr>
          <w:color w:val="auto"/>
          <w:highlight w:val="none"/>
        </w:rPr>
        <w:fldChar w:fldCharType="separate"/>
      </w:r>
      <w:r>
        <w:rPr>
          <w:color w:val="auto"/>
          <w:highlight w:val="none"/>
        </w:rPr>
        <w:t>12</w:t>
      </w:r>
      <w:r>
        <w:rPr>
          <w:rFonts w:hint="eastAsia" w:ascii="宋体" w:hAnsi="宋体"/>
          <w:color w:val="auto"/>
          <w:szCs w:val="21"/>
          <w:highlight w:val="none"/>
        </w:rPr>
        <w:t>.</w:t>
      </w:r>
      <w:r>
        <w:rPr>
          <w:rFonts w:hint="eastAsia"/>
          <w:color w:val="auto"/>
          <w:highlight w:val="none"/>
        </w:rPr>
        <w:t>3  智能化制造和运输</w:t>
      </w:r>
      <w:r>
        <w:rPr>
          <w:color w:val="auto"/>
          <w:highlight w:val="none"/>
        </w:rPr>
        <w:tab/>
      </w:r>
      <w:r>
        <w:rPr>
          <w:color w:val="auto"/>
          <w:highlight w:val="none"/>
        </w:rPr>
        <w:fldChar w:fldCharType="begin"/>
      </w:r>
      <w:r>
        <w:rPr>
          <w:color w:val="auto"/>
          <w:highlight w:val="none"/>
        </w:rPr>
        <w:instrText xml:space="preserve"> PAGEREF _Toc12389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pPr>
        <w:pStyle w:val="20"/>
        <w:tabs>
          <w:tab w:val="right" w:leader="dot" w:pos="9264"/>
        </w:tabs>
        <w:ind w:left="441"/>
        <w:rPr>
          <w:color w:val="auto"/>
          <w:highlight w:val="none"/>
        </w:rPr>
      </w:pPr>
      <w:r>
        <w:rPr>
          <w:color w:val="auto"/>
          <w:highlight w:val="none"/>
        </w:rPr>
        <w:fldChar w:fldCharType="begin"/>
      </w:r>
      <w:r>
        <w:rPr>
          <w:color w:val="auto"/>
          <w:highlight w:val="none"/>
        </w:rPr>
        <w:instrText xml:space="preserve"> HYPERLINK \l "_Toc5535" </w:instrText>
      </w:r>
      <w:r>
        <w:rPr>
          <w:color w:val="auto"/>
          <w:highlight w:val="none"/>
        </w:rPr>
        <w:fldChar w:fldCharType="separate"/>
      </w:r>
      <w:r>
        <w:rPr>
          <w:color w:val="auto"/>
          <w:highlight w:val="none"/>
        </w:rPr>
        <w:t>12</w:t>
      </w:r>
      <w:r>
        <w:rPr>
          <w:rFonts w:hint="eastAsia" w:ascii="宋体" w:hAnsi="宋体"/>
          <w:color w:val="auto"/>
          <w:szCs w:val="21"/>
          <w:highlight w:val="none"/>
        </w:rPr>
        <w:t>.</w:t>
      </w:r>
      <w:r>
        <w:rPr>
          <w:color w:val="auto"/>
          <w:highlight w:val="none"/>
        </w:rPr>
        <w:t>4</w:t>
      </w:r>
      <w:r>
        <w:rPr>
          <w:rFonts w:hint="eastAsia"/>
          <w:color w:val="auto"/>
          <w:highlight w:val="none"/>
        </w:rPr>
        <w:t xml:space="preserve">  数字化施工</w:t>
      </w:r>
      <w:r>
        <w:rPr>
          <w:color w:val="auto"/>
          <w:highlight w:val="none"/>
        </w:rPr>
        <w:tab/>
      </w:r>
      <w:r>
        <w:rPr>
          <w:color w:val="auto"/>
          <w:highlight w:val="none"/>
        </w:rPr>
        <w:fldChar w:fldCharType="begin"/>
      </w:r>
      <w:r>
        <w:rPr>
          <w:color w:val="auto"/>
          <w:highlight w:val="none"/>
        </w:rPr>
        <w:instrText xml:space="preserve"> PAGEREF _Toc5535 \h </w:instrText>
      </w:r>
      <w:r>
        <w:rPr>
          <w:color w:val="auto"/>
          <w:highlight w:val="none"/>
        </w:rPr>
        <w:fldChar w:fldCharType="separate"/>
      </w:r>
      <w:r>
        <w:rPr>
          <w:color w:val="auto"/>
          <w:highlight w:val="none"/>
        </w:rPr>
        <w:t>47</w:t>
      </w:r>
      <w:r>
        <w:rPr>
          <w:color w:val="auto"/>
          <w:highlight w:val="none"/>
        </w:rPr>
        <w:fldChar w:fldCharType="end"/>
      </w:r>
      <w:r>
        <w:rPr>
          <w:color w:val="auto"/>
          <w:highlight w:val="none"/>
        </w:rPr>
        <w:fldChar w:fldCharType="end"/>
      </w:r>
    </w:p>
    <w:p>
      <w:pPr>
        <w:pStyle w:val="20"/>
        <w:tabs>
          <w:tab w:val="right" w:leader="dot" w:pos="9264"/>
        </w:tabs>
        <w:ind w:left="441"/>
        <w:rPr>
          <w:color w:val="auto"/>
          <w:highlight w:val="none"/>
        </w:rPr>
      </w:pPr>
      <w:r>
        <w:rPr>
          <w:color w:val="auto"/>
          <w:highlight w:val="none"/>
        </w:rPr>
        <w:fldChar w:fldCharType="begin"/>
      </w:r>
      <w:r>
        <w:rPr>
          <w:color w:val="auto"/>
          <w:highlight w:val="none"/>
        </w:rPr>
        <w:instrText xml:space="preserve"> HYPERLINK \l "_Toc17891" </w:instrText>
      </w:r>
      <w:r>
        <w:rPr>
          <w:color w:val="auto"/>
          <w:highlight w:val="none"/>
        </w:rPr>
        <w:fldChar w:fldCharType="separate"/>
      </w:r>
      <w:r>
        <w:rPr>
          <w:color w:val="auto"/>
          <w:highlight w:val="none"/>
        </w:rPr>
        <w:t>12</w:t>
      </w:r>
      <w:r>
        <w:rPr>
          <w:rFonts w:hint="eastAsia" w:ascii="宋体" w:hAnsi="宋体"/>
          <w:color w:val="auto"/>
          <w:szCs w:val="21"/>
          <w:highlight w:val="none"/>
        </w:rPr>
        <w:t>.</w:t>
      </w:r>
      <w:r>
        <w:rPr>
          <w:color w:val="auto"/>
          <w:highlight w:val="none"/>
        </w:rPr>
        <w:t xml:space="preserve">5  </w:t>
      </w:r>
      <w:r>
        <w:rPr>
          <w:rFonts w:hint="eastAsia"/>
          <w:color w:val="auto"/>
          <w:highlight w:val="none"/>
        </w:rPr>
        <w:t>智能化运营和维护</w:t>
      </w:r>
      <w:r>
        <w:rPr>
          <w:color w:val="auto"/>
          <w:highlight w:val="none"/>
        </w:rPr>
        <w:tab/>
      </w:r>
      <w:r>
        <w:rPr>
          <w:color w:val="auto"/>
          <w:highlight w:val="none"/>
        </w:rPr>
        <w:fldChar w:fldCharType="begin"/>
      </w:r>
      <w:r>
        <w:rPr>
          <w:color w:val="auto"/>
          <w:highlight w:val="none"/>
        </w:rPr>
        <w:instrText xml:space="preserve"> PAGEREF _Toc17891 \h </w:instrText>
      </w:r>
      <w:r>
        <w:rPr>
          <w:color w:val="auto"/>
          <w:highlight w:val="none"/>
        </w:rPr>
        <w:fldChar w:fldCharType="separate"/>
      </w:r>
      <w:r>
        <w:rPr>
          <w:color w:val="auto"/>
          <w:highlight w:val="none"/>
        </w:rPr>
        <w:t>47</w:t>
      </w:r>
      <w:r>
        <w:rPr>
          <w:color w:val="auto"/>
          <w:highlight w:val="none"/>
        </w:rPr>
        <w:fldChar w:fldCharType="end"/>
      </w:r>
      <w:r>
        <w:rPr>
          <w:color w:val="auto"/>
          <w:highlight w:val="none"/>
        </w:rPr>
        <w:fldChar w:fldCharType="end"/>
      </w:r>
    </w:p>
    <w:p>
      <w:pPr>
        <w:pStyle w:val="17"/>
        <w:tabs>
          <w:tab w:val="right" w:leader="dot" w:pos="9264"/>
          <w:tab w:val="clear" w:pos="1050"/>
          <w:tab w:val="clear" w:pos="13948"/>
        </w:tabs>
        <w:rPr>
          <w:color w:val="auto"/>
          <w:highlight w:val="none"/>
        </w:rPr>
      </w:pPr>
      <w:r>
        <w:rPr>
          <w:color w:val="auto"/>
          <w:highlight w:val="none"/>
        </w:rPr>
        <w:fldChar w:fldCharType="begin"/>
      </w:r>
      <w:r>
        <w:rPr>
          <w:color w:val="auto"/>
          <w:highlight w:val="none"/>
        </w:rPr>
        <w:instrText xml:space="preserve"> HYPERLINK \l "_Toc3822" </w:instrText>
      </w:r>
      <w:r>
        <w:rPr>
          <w:color w:val="auto"/>
          <w:highlight w:val="none"/>
        </w:rPr>
        <w:fldChar w:fldCharType="separate"/>
      </w:r>
      <w:r>
        <w:rPr>
          <w:rFonts w:hint="eastAsia"/>
          <w:color w:val="auto"/>
          <w:highlight w:val="none"/>
        </w:rPr>
        <w:t>附录A</w:t>
      </w:r>
      <w:r>
        <w:rPr>
          <w:color w:val="auto"/>
          <w:highlight w:val="none"/>
        </w:rPr>
        <w:t xml:space="preserve">  </w:t>
      </w:r>
      <w:r>
        <w:rPr>
          <w:rFonts w:hint="eastAsia"/>
          <w:color w:val="auto"/>
          <w:highlight w:val="none"/>
        </w:rPr>
        <w:t>模块出厂质量证明文件</w:t>
      </w:r>
      <w:r>
        <w:rPr>
          <w:color w:val="auto"/>
          <w:highlight w:val="none"/>
        </w:rPr>
        <w:tab/>
      </w:r>
      <w:r>
        <w:rPr>
          <w:color w:val="auto"/>
          <w:highlight w:val="none"/>
        </w:rPr>
        <w:fldChar w:fldCharType="begin"/>
      </w:r>
      <w:r>
        <w:rPr>
          <w:color w:val="auto"/>
          <w:highlight w:val="none"/>
        </w:rPr>
        <w:instrText xml:space="preserve"> PAGEREF _Toc3822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pPr>
        <w:pStyle w:val="17"/>
        <w:tabs>
          <w:tab w:val="right" w:leader="dot" w:pos="9264"/>
          <w:tab w:val="clear" w:pos="1050"/>
          <w:tab w:val="clear" w:pos="13948"/>
        </w:tabs>
        <w:rPr>
          <w:color w:val="auto"/>
          <w:highlight w:val="none"/>
        </w:rPr>
      </w:pPr>
      <w:r>
        <w:rPr>
          <w:color w:val="auto"/>
          <w:highlight w:val="none"/>
        </w:rPr>
        <w:fldChar w:fldCharType="begin"/>
      </w:r>
      <w:r>
        <w:rPr>
          <w:color w:val="auto"/>
          <w:highlight w:val="none"/>
        </w:rPr>
        <w:instrText xml:space="preserve"> HYPERLINK \l "_Toc31029" </w:instrText>
      </w:r>
      <w:r>
        <w:rPr>
          <w:color w:val="auto"/>
          <w:highlight w:val="none"/>
        </w:rPr>
        <w:fldChar w:fldCharType="separate"/>
      </w:r>
      <w:r>
        <w:rPr>
          <w:rFonts w:hint="eastAsia"/>
          <w:color w:val="auto"/>
          <w:highlight w:val="none"/>
        </w:rPr>
        <w:t>附录B</w:t>
      </w:r>
      <w:r>
        <w:rPr>
          <w:color w:val="auto"/>
          <w:highlight w:val="none"/>
        </w:rPr>
        <w:t xml:space="preserve"> </w:t>
      </w:r>
      <w:r>
        <w:rPr>
          <w:rFonts w:hint="eastAsia"/>
          <w:color w:val="auto"/>
          <w:highlight w:val="none"/>
        </w:rPr>
        <w:t xml:space="preserve"> 模块单元吊装测试</w:t>
      </w:r>
      <w:r>
        <w:rPr>
          <w:color w:val="auto"/>
          <w:highlight w:val="none"/>
        </w:rPr>
        <w:tab/>
      </w:r>
      <w:r>
        <w:rPr>
          <w:color w:val="auto"/>
          <w:highlight w:val="none"/>
        </w:rPr>
        <w:fldChar w:fldCharType="begin"/>
      </w:r>
      <w:r>
        <w:rPr>
          <w:color w:val="auto"/>
          <w:highlight w:val="none"/>
        </w:rPr>
        <w:instrText xml:space="preserve"> PAGEREF _Toc31029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pPr>
        <w:pStyle w:val="17"/>
        <w:tabs>
          <w:tab w:val="right" w:leader="dot" w:pos="9264"/>
          <w:tab w:val="clear" w:pos="1050"/>
          <w:tab w:val="clear" w:pos="13948"/>
        </w:tabs>
        <w:rPr>
          <w:color w:val="auto"/>
          <w:highlight w:val="none"/>
        </w:rPr>
      </w:pPr>
      <w:r>
        <w:rPr>
          <w:color w:val="auto"/>
          <w:highlight w:val="none"/>
        </w:rPr>
        <w:fldChar w:fldCharType="begin"/>
      </w:r>
      <w:r>
        <w:rPr>
          <w:color w:val="auto"/>
          <w:highlight w:val="none"/>
        </w:rPr>
        <w:instrText xml:space="preserve"> HYPERLINK \l "_Toc12634" </w:instrText>
      </w:r>
      <w:r>
        <w:rPr>
          <w:color w:val="auto"/>
          <w:highlight w:val="none"/>
        </w:rPr>
        <w:fldChar w:fldCharType="separate"/>
      </w:r>
      <w:r>
        <w:rPr>
          <w:color w:val="auto"/>
          <w:highlight w:val="none"/>
        </w:rPr>
        <w:t>本导则用词说明</w:t>
      </w:r>
      <w:r>
        <w:rPr>
          <w:color w:val="auto"/>
          <w:highlight w:val="none"/>
        </w:rPr>
        <w:tab/>
      </w:r>
      <w:r>
        <w:rPr>
          <w:color w:val="auto"/>
          <w:highlight w:val="none"/>
        </w:rPr>
        <w:fldChar w:fldCharType="begin"/>
      </w:r>
      <w:r>
        <w:rPr>
          <w:color w:val="auto"/>
          <w:highlight w:val="none"/>
        </w:rPr>
        <w:instrText xml:space="preserve"> PAGEREF _Toc12634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pPr>
        <w:pStyle w:val="17"/>
        <w:tabs>
          <w:tab w:val="right" w:leader="dot" w:pos="9264"/>
          <w:tab w:val="clear" w:pos="1050"/>
          <w:tab w:val="clear" w:pos="13948"/>
        </w:tabs>
        <w:rPr>
          <w:color w:val="auto"/>
          <w:highlight w:val="none"/>
        </w:rPr>
      </w:pPr>
      <w:r>
        <w:rPr>
          <w:color w:val="auto"/>
          <w:highlight w:val="none"/>
        </w:rPr>
        <w:fldChar w:fldCharType="begin"/>
      </w:r>
      <w:r>
        <w:rPr>
          <w:color w:val="auto"/>
          <w:highlight w:val="none"/>
        </w:rPr>
        <w:instrText xml:space="preserve"> HYPERLINK \l "_Toc3699" </w:instrText>
      </w:r>
      <w:r>
        <w:rPr>
          <w:color w:val="auto"/>
          <w:highlight w:val="none"/>
        </w:rPr>
        <w:fldChar w:fldCharType="separate"/>
      </w:r>
      <w:r>
        <w:rPr>
          <w:rFonts w:hint="eastAsia"/>
          <w:color w:val="auto"/>
          <w:highlight w:val="none"/>
        </w:rPr>
        <w:t>引用标准名录</w:t>
      </w:r>
      <w:r>
        <w:rPr>
          <w:color w:val="auto"/>
          <w:highlight w:val="none"/>
        </w:rPr>
        <w:tab/>
      </w:r>
      <w:r>
        <w:rPr>
          <w:color w:val="auto"/>
          <w:highlight w:val="none"/>
        </w:rPr>
        <w:fldChar w:fldCharType="begin"/>
      </w:r>
      <w:r>
        <w:rPr>
          <w:color w:val="auto"/>
          <w:highlight w:val="none"/>
        </w:rPr>
        <w:instrText xml:space="preserve"> PAGEREF _Toc3699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ind w:left="190"/>
        <w:jc w:val="left"/>
        <w:rPr>
          <w:color w:val="auto"/>
          <w:highlight w:val="none"/>
        </w:rPr>
      </w:pPr>
      <w:r>
        <w:rPr>
          <w:rFonts w:hint="eastAsia"/>
          <w:color w:val="auto"/>
          <w:highlight w:val="none"/>
        </w:rPr>
        <w:fldChar w:fldCharType="end"/>
      </w:r>
    </w:p>
    <w:p>
      <w:pPr>
        <w:ind w:left="190"/>
        <w:rPr>
          <w:b/>
          <w:color w:val="auto"/>
          <w:highlight w:val="none"/>
        </w:rPr>
        <w:sectPr>
          <w:footerReference r:id="rId7" w:type="default"/>
          <w:footerReference r:id="rId8" w:type="even"/>
          <w:pgSz w:w="11906" w:h="16838"/>
          <w:pgMar w:top="1610" w:right="1349" w:bottom="1213" w:left="1293" w:header="851" w:footer="992" w:gutter="0"/>
          <w:pgNumType w:start="1"/>
          <w:cols w:space="720" w:num="1"/>
          <w:docGrid w:type="linesAndChars" w:linePitch="333" w:charSpace="2165"/>
        </w:sectPr>
      </w:pPr>
    </w:p>
    <w:p>
      <w:pPr>
        <w:pStyle w:val="2"/>
        <w:rPr>
          <w:b/>
          <w:bCs w:val="0"/>
          <w:color w:val="auto"/>
          <w:highlight w:val="none"/>
        </w:rPr>
      </w:pPr>
      <w:bookmarkStart w:id="11" w:name="_Toc6454"/>
      <w:bookmarkStart w:id="12" w:name="_Toc27361"/>
      <w:bookmarkStart w:id="13" w:name="_Toc18593"/>
      <w:bookmarkStart w:id="14" w:name="_Toc6476"/>
      <w:bookmarkStart w:id="15" w:name="_Toc31281"/>
      <w:bookmarkStart w:id="16" w:name="_Toc31364"/>
      <w:bookmarkStart w:id="17" w:name="_Toc110958463"/>
      <w:bookmarkStart w:id="18" w:name="_Toc13361"/>
      <w:bookmarkStart w:id="19" w:name="_Toc2078"/>
      <w:bookmarkStart w:id="20" w:name="_Toc21389"/>
      <w:bookmarkStart w:id="21" w:name="_Toc17174"/>
      <w:bookmarkStart w:id="22" w:name="_Toc30737"/>
      <w:bookmarkStart w:id="23" w:name="_Toc8182"/>
      <w:bookmarkStart w:id="24" w:name="_Toc12834"/>
      <w:bookmarkStart w:id="25" w:name="_Toc26799"/>
      <w:bookmarkStart w:id="26" w:name="_Toc294"/>
      <w:bookmarkStart w:id="27" w:name="_Toc24793"/>
      <w:bookmarkStart w:id="28" w:name="_Toc19264"/>
      <w:bookmarkStart w:id="29" w:name="_Toc27379"/>
      <w:bookmarkStart w:id="30" w:name="_Toc21260"/>
      <w:bookmarkStart w:id="31" w:name="_Toc8077"/>
      <w:bookmarkStart w:id="32" w:name="_Toc31027"/>
      <w:bookmarkStart w:id="33" w:name="_Toc110952695"/>
      <w:bookmarkStart w:id="34" w:name="_Toc17539"/>
      <w:bookmarkStart w:id="35" w:name="_Toc6576"/>
      <w:bookmarkStart w:id="36" w:name="_Toc19398"/>
      <w:bookmarkStart w:id="37" w:name="_Toc20269"/>
      <w:bookmarkStart w:id="38" w:name="_Toc11242"/>
      <w:bookmarkStart w:id="39" w:name="_Toc15697"/>
      <w:bookmarkStart w:id="40" w:name="_Toc23662"/>
      <w:bookmarkStart w:id="41" w:name="_Toc6674"/>
      <w:bookmarkStart w:id="42" w:name="_Toc24240"/>
      <w:bookmarkStart w:id="43" w:name="_Toc27887"/>
      <w:bookmarkStart w:id="44" w:name="_Toc14859"/>
      <w:bookmarkStart w:id="45" w:name="_Toc12358"/>
      <w:bookmarkStart w:id="46" w:name="_Toc82523962"/>
      <w:bookmarkStart w:id="47" w:name="_Toc93998963"/>
      <w:bookmarkStart w:id="48" w:name="_Toc93999724"/>
      <w:r>
        <w:rPr>
          <w:b/>
          <w:bCs w:val="0"/>
          <w:color w:val="auto"/>
          <w:highlight w:val="none"/>
        </w:rPr>
        <w:t>1  总</w:t>
      </w:r>
      <w:r>
        <w:rPr>
          <w:rFonts w:hint="eastAsia"/>
          <w:b/>
          <w:bCs w:val="0"/>
          <w:color w:val="auto"/>
          <w:highlight w:val="none"/>
          <w:lang w:val="en-US" w:eastAsia="zh-CN"/>
        </w:rPr>
        <w:t xml:space="preserve">  </w:t>
      </w:r>
      <w:r>
        <w:rPr>
          <w:b/>
          <w:bCs w:val="0"/>
          <w:color w:val="auto"/>
          <w:highlight w:val="none"/>
        </w:rPr>
        <w:t>则</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pPr>
        <w:numPr>
          <w:ilvl w:val="0"/>
          <w:numId w:val="1"/>
        </w:numPr>
        <w:rPr>
          <w:color w:val="auto"/>
          <w:highlight w:val="none"/>
        </w:rPr>
      </w:pPr>
      <w:r>
        <w:rPr>
          <w:rFonts w:hint="eastAsia"/>
          <w:color w:val="auto"/>
          <w:highlight w:val="none"/>
        </w:rPr>
        <w:t>本导则旨在规范和指导混凝土模块化建筑的工程应用，按照“适用、经济、安全、绿色、美观”的要求，全面提升环境效益、社会效益和经济效益，助力实现节能减排、智能建造及可持续发展目标。</w:t>
      </w:r>
    </w:p>
    <w:p>
      <w:pPr>
        <w:numPr>
          <w:ilvl w:val="0"/>
          <w:numId w:val="1"/>
        </w:numPr>
        <w:rPr>
          <w:color w:val="auto"/>
          <w:highlight w:val="none"/>
        </w:rPr>
      </w:pPr>
      <w:r>
        <w:rPr>
          <w:rFonts w:hint="eastAsia"/>
          <w:color w:val="auto"/>
          <w:szCs w:val="21"/>
          <w:highlight w:val="none"/>
        </w:rPr>
        <w:t>混凝土模块化建筑适用于标准化程度较高的建筑类型，在工期紧迫、施工环境受限的工程中优势显著。</w:t>
      </w:r>
    </w:p>
    <w:p>
      <w:pPr>
        <w:numPr>
          <w:ilvl w:val="0"/>
          <w:numId w:val="1"/>
        </w:numPr>
        <w:rPr>
          <w:color w:val="auto"/>
          <w:highlight w:val="none"/>
        </w:rPr>
      </w:pPr>
      <w:r>
        <w:rPr>
          <w:color w:val="auto"/>
          <w:szCs w:val="21"/>
          <w:highlight w:val="none"/>
        </w:rPr>
        <w:t>本导则适用于</w:t>
      </w:r>
      <w:r>
        <w:rPr>
          <w:rFonts w:hint="eastAsia"/>
          <w:color w:val="auto"/>
          <w:szCs w:val="21"/>
          <w:highlight w:val="none"/>
        </w:rPr>
        <w:t>本市100m以下混凝土模块化</w:t>
      </w:r>
      <w:r>
        <w:rPr>
          <w:color w:val="auto"/>
          <w:szCs w:val="21"/>
          <w:highlight w:val="none"/>
        </w:rPr>
        <w:t>建筑</w:t>
      </w:r>
      <w:r>
        <w:rPr>
          <w:rFonts w:hint="eastAsia"/>
          <w:color w:val="auto"/>
          <w:szCs w:val="21"/>
          <w:highlight w:val="none"/>
        </w:rPr>
        <w:t>（住宅建筑80m以下）的</w:t>
      </w:r>
      <w:r>
        <w:rPr>
          <w:color w:val="auto"/>
          <w:szCs w:val="21"/>
          <w:highlight w:val="none"/>
        </w:rPr>
        <w:t>项目策划、设计、模块制造、运输、施工安装、质量检查与验收、运营维护。</w:t>
      </w:r>
    </w:p>
    <w:p>
      <w:pPr>
        <w:numPr>
          <w:ilvl w:val="0"/>
          <w:numId w:val="1"/>
        </w:numPr>
        <w:rPr>
          <w:color w:val="auto"/>
          <w:highlight w:val="none"/>
        </w:rPr>
      </w:pPr>
      <w:r>
        <w:rPr>
          <w:rFonts w:hint="eastAsia"/>
          <w:color w:val="auto"/>
          <w:highlight w:val="none"/>
        </w:rPr>
        <w:t>混凝土模块化建筑应遵循全生命周期绿色、可持续发展和智能建造的原则，将结构系统、围护系统、设备管线系统、内装系统有机集成，通过标准化设计、工厂化制造、装配化施工、一体化装修、信息化管理及智能化应用，确保建筑功能完备、性能优越。</w:t>
      </w:r>
    </w:p>
    <w:p>
      <w:pPr>
        <w:widowControl/>
        <w:numPr>
          <w:ilvl w:val="0"/>
          <w:numId w:val="1"/>
        </w:numPr>
        <w:jc w:val="left"/>
        <w:rPr>
          <w:color w:val="auto"/>
          <w:highlight w:val="none"/>
        </w:rPr>
      </w:pPr>
      <w:r>
        <w:rPr>
          <w:rFonts w:hint="eastAsia"/>
          <w:color w:val="auto"/>
          <w:highlight w:val="none"/>
        </w:rPr>
        <w:t>混凝土模块化建筑的全过程实施</w:t>
      </w:r>
      <w:bookmarkStart w:id="49" w:name="_Hlk182857132"/>
      <w:r>
        <w:rPr>
          <w:rFonts w:hint="eastAsia"/>
          <w:color w:val="auto"/>
          <w:highlight w:val="none"/>
        </w:rPr>
        <w:t>除应符合本导则外，尚应符合国家和上海市现行有关法规和标准的规定。</w:t>
      </w:r>
      <w:bookmarkEnd w:id="49"/>
    </w:p>
    <w:p>
      <w:pPr>
        <w:widowControl/>
        <w:jc w:val="left"/>
        <w:rPr>
          <w:rFonts w:hint="eastAsia" w:ascii="等线" w:hAnsi="等线" w:cs="等线"/>
          <w:color w:val="auto"/>
          <w:highlight w:val="none"/>
        </w:rPr>
      </w:pPr>
    </w:p>
    <w:p>
      <w:pPr>
        <w:widowControl/>
        <w:jc w:val="left"/>
        <w:rPr>
          <w:rFonts w:hint="eastAsia" w:ascii="等线" w:hAnsi="等线" w:cs="等线"/>
          <w:color w:val="auto"/>
          <w:highlight w:val="none"/>
        </w:rPr>
        <w:sectPr>
          <w:footerReference r:id="rId9" w:type="default"/>
          <w:footerReference r:id="rId10" w:type="even"/>
          <w:pgSz w:w="11906" w:h="16838"/>
          <w:pgMar w:top="1610" w:right="1349" w:bottom="1213" w:left="1293" w:header="851" w:footer="992" w:gutter="0"/>
          <w:pgNumType w:start="1"/>
          <w:cols w:space="720" w:num="1"/>
          <w:docGrid w:type="linesAndChars" w:linePitch="333" w:charSpace="2165"/>
        </w:sectPr>
      </w:pPr>
    </w:p>
    <w:p>
      <w:pPr>
        <w:pStyle w:val="2"/>
        <w:rPr>
          <w:b/>
          <w:bCs w:val="0"/>
          <w:color w:val="auto"/>
          <w:highlight w:val="none"/>
        </w:rPr>
      </w:pPr>
      <w:bookmarkStart w:id="50" w:name="_Toc10463"/>
      <w:bookmarkStart w:id="51" w:name="_Toc10181"/>
      <w:bookmarkStart w:id="52" w:name="_Toc18422"/>
      <w:bookmarkStart w:id="53" w:name="_Toc18343"/>
      <w:bookmarkStart w:id="54" w:name="_Toc9334"/>
      <w:bookmarkStart w:id="55" w:name="_Toc110958464"/>
      <w:bookmarkStart w:id="56" w:name="_Toc16805"/>
      <w:bookmarkStart w:id="57" w:name="_Toc31236"/>
      <w:bookmarkStart w:id="58" w:name="_Toc32076"/>
      <w:bookmarkStart w:id="59" w:name="_Toc4703"/>
      <w:bookmarkStart w:id="60" w:name="_Toc16437"/>
      <w:bookmarkStart w:id="61" w:name="_Toc6741"/>
      <w:bookmarkStart w:id="62" w:name="_Toc1862"/>
      <w:bookmarkStart w:id="63" w:name="_Toc15387"/>
      <w:bookmarkStart w:id="64" w:name="_Toc4233"/>
      <w:bookmarkStart w:id="65" w:name="_Toc20329"/>
      <w:bookmarkStart w:id="66" w:name="_Toc23441"/>
      <w:bookmarkStart w:id="67" w:name="_Toc1342"/>
      <w:bookmarkStart w:id="68" w:name="_Toc29127"/>
      <w:bookmarkStart w:id="69" w:name="_Toc26691"/>
      <w:bookmarkStart w:id="70" w:name="_Toc28263"/>
      <w:bookmarkStart w:id="71" w:name="_Toc7111"/>
      <w:bookmarkStart w:id="72" w:name="_Toc14876"/>
      <w:bookmarkStart w:id="73" w:name="_Toc13102"/>
      <w:bookmarkStart w:id="74" w:name="_Toc10484"/>
      <w:bookmarkStart w:id="75" w:name="_Toc22964"/>
      <w:bookmarkStart w:id="76" w:name="_Toc13862"/>
      <w:bookmarkStart w:id="77" w:name="_Toc23850"/>
      <w:bookmarkStart w:id="78" w:name="_Toc14427"/>
      <w:bookmarkStart w:id="79" w:name="_Toc110952696"/>
      <w:bookmarkStart w:id="80" w:name="_Toc25537"/>
      <w:bookmarkStart w:id="81" w:name="_Toc24108"/>
      <w:bookmarkStart w:id="82" w:name="_Toc12170"/>
      <w:bookmarkStart w:id="83" w:name="_Toc28242"/>
      <w:bookmarkStart w:id="84" w:name="_Toc22182"/>
      <w:r>
        <w:rPr>
          <w:b/>
          <w:bCs w:val="0"/>
          <w:color w:val="auto"/>
          <w:highlight w:val="none"/>
        </w:rPr>
        <w:t>2</w:t>
      </w:r>
      <w:r>
        <w:rPr>
          <w:rFonts w:hint="eastAsia"/>
          <w:b/>
          <w:bCs w:val="0"/>
          <w:color w:val="auto"/>
          <w:highlight w:val="none"/>
        </w:rPr>
        <w:t xml:space="preserve">  术</w:t>
      </w:r>
      <w:r>
        <w:rPr>
          <w:rFonts w:hint="eastAsia"/>
          <w:b/>
          <w:bCs w:val="0"/>
          <w:color w:val="auto"/>
          <w:highlight w:val="none"/>
          <w:lang w:val="en-US" w:eastAsia="zh-CN"/>
        </w:rPr>
        <w:t xml:space="preserve">   </w:t>
      </w:r>
      <w:r>
        <w:rPr>
          <w:rFonts w:hint="eastAsia"/>
          <w:b/>
          <w:bCs w:val="0"/>
          <w:color w:val="auto"/>
          <w:highlight w:val="none"/>
        </w:rPr>
        <w:t>语</w:t>
      </w:r>
      <w:bookmarkEnd w:id="46"/>
      <w:bookmarkEnd w:id="47"/>
      <w:bookmarkEnd w:id="48"/>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pPr>
        <w:numPr>
          <w:ilvl w:val="0"/>
          <w:numId w:val="2"/>
        </w:numPr>
        <w:rPr>
          <w:color w:val="auto"/>
          <w:highlight w:val="none"/>
        </w:rPr>
      </w:pPr>
      <w:r>
        <w:rPr>
          <w:rFonts w:hint="eastAsia"/>
          <w:color w:val="auto"/>
          <w:highlight w:val="none"/>
        </w:rPr>
        <w:t>混凝土模块化建筑  concrete modular building</w:t>
      </w:r>
    </w:p>
    <w:p>
      <w:pPr>
        <w:ind w:firstLine="440" w:firstLineChars="200"/>
        <w:rPr>
          <w:color w:val="auto"/>
          <w:highlight w:val="none"/>
        </w:rPr>
      </w:pPr>
      <w:r>
        <w:rPr>
          <w:color w:val="auto"/>
          <w:highlight w:val="none"/>
        </w:rPr>
        <w:t>由在工厂内制</w:t>
      </w:r>
      <w:r>
        <w:rPr>
          <w:rFonts w:hint="eastAsia"/>
          <w:color w:val="auto"/>
          <w:highlight w:val="none"/>
        </w:rPr>
        <w:t>造</w:t>
      </w:r>
      <w:r>
        <w:rPr>
          <w:color w:val="auto"/>
          <w:highlight w:val="none"/>
        </w:rPr>
        <w:t>完成且具有使用功能的标准化</w:t>
      </w:r>
      <w:r>
        <w:rPr>
          <w:rFonts w:hint="eastAsia"/>
          <w:color w:val="auto"/>
          <w:highlight w:val="none"/>
        </w:rPr>
        <w:t>预制混凝土模块单元</w:t>
      </w:r>
      <w:r>
        <w:rPr>
          <w:color w:val="auto"/>
          <w:highlight w:val="none"/>
        </w:rPr>
        <w:t>，通过现场装配连接而成的混凝土结构建筑</w:t>
      </w:r>
      <w:r>
        <w:rPr>
          <w:rFonts w:hint="eastAsia"/>
          <w:color w:val="auto"/>
          <w:highlight w:val="none"/>
        </w:rPr>
        <w:t>，本导则</w:t>
      </w:r>
      <w:r>
        <w:rPr>
          <w:color w:val="auto"/>
          <w:highlight w:val="none"/>
        </w:rPr>
        <w:t>简称为模块化建筑。</w:t>
      </w:r>
    </w:p>
    <w:p>
      <w:pPr>
        <w:numPr>
          <w:ilvl w:val="0"/>
          <w:numId w:val="2"/>
        </w:numPr>
        <w:rPr>
          <w:color w:val="auto"/>
          <w:highlight w:val="none"/>
        </w:rPr>
      </w:pPr>
      <w:r>
        <w:rPr>
          <w:rFonts w:hint="eastAsia"/>
          <w:color w:val="auto"/>
          <w:highlight w:val="none"/>
        </w:rPr>
        <w:t>集成设计  integrated design</w:t>
      </w:r>
    </w:p>
    <w:p>
      <w:pPr>
        <w:pStyle w:val="47"/>
        <w:ind w:firstLine="441"/>
        <w:rPr>
          <w:color w:val="auto"/>
          <w:highlight w:val="none"/>
        </w:rPr>
      </w:pPr>
      <w:r>
        <w:rPr>
          <w:rFonts w:hint="eastAsia"/>
          <w:color w:val="auto"/>
          <w:highlight w:val="none"/>
        </w:rPr>
        <w:t>建筑结构系统、围护系统、设备与管线系统、内装系统一体化的设计。</w:t>
      </w:r>
    </w:p>
    <w:p>
      <w:pPr>
        <w:numPr>
          <w:ilvl w:val="0"/>
          <w:numId w:val="2"/>
        </w:numPr>
        <w:rPr>
          <w:color w:val="auto"/>
          <w:highlight w:val="none"/>
        </w:rPr>
      </w:pPr>
      <w:r>
        <w:rPr>
          <w:color w:val="auto"/>
          <w:highlight w:val="none"/>
        </w:rPr>
        <w:t>结构系统</w:t>
      </w:r>
      <w:r>
        <w:rPr>
          <w:rFonts w:hint="eastAsia"/>
          <w:color w:val="auto"/>
          <w:highlight w:val="none"/>
        </w:rPr>
        <w:t xml:space="preserve"> </w:t>
      </w:r>
      <w:r>
        <w:rPr>
          <w:color w:val="auto"/>
          <w:highlight w:val="none"/>
        </w:rPr>
        <w:t xml:space="preserve"> structure system</w:t>
      </w:r>
    </w:p>
    <w:p>
      <w:pPr>
        <w:ind w:firstLine="420"/>
        <w:rPr>
          <w:color w:val="auto"/>
          <w:highlight w:val="none"/>
        </w:rPr>
      </w:pPr>
      <w:r>
        <w:rPr>
          <w:color w:val="auto"/>
          <w:highlight w:val="none"/>
        </w:rPr>
        <w:t>结构构件通过可</w:t>
      </w:r>
      <w:r>
        <w:rPr>
          <w:rFonts w:hint="eastAsia"/>
          <w:color w:val="auto"/>
          <w:highlight w:val="none"/>
        </w:rPr>
        <w:t>靠</w:t>
      </w:r>
      <w:r>
        <w:rPr>
          <w:color w:val="auto"/>
          <w:highlight w:val="none"/>
        </w:rPr>
        <w:t>的方式</w:t>
      </w:r>
      <w:r>
        <w:rPr>
          <w:rFonts w:hint="eastAsia"/>
          <w:color w:val="auto"/>
          <w:highlight w:val="none"/>
        </w:rPr>
        <w:t>连接</w:t>
      </w:r>
      <w:r>
        <w:rPr>
          <w:color w:val="auto"/>
          <w:highlight w:val="none"/>
        </w:rPr>
        <w:t>而</w:t>
      </w:r>
      <w:r>
        <w:rPr>
          <w:rFonts w:hint="eastAsia"/>
          <w:color w:val="auto"/>
          <w:highlight w:val="none"/>
        </w:rPr>
        <w:t>成</w:t>
      </w:r>
      <w:r>
        <w:rPr>
          <w:color w:val="auto"/>
          <w:highlight w:val="none"/>
        </w:rPr>
        <w:t>，以承受或传递荷载</w:t>
      </w:r>
      <w:r>
        <w:rPr>
          <w:rFonts w:hint="eastAsia"/>
          <w:color w:val="auto"/>
          <w:highlight w:val="none"/>
        </w:rPr>
        <w:t>和</w:t>
      </w:r>
      <w:r>
        <w:rPr>
          <w:color w:val="auto"/>
          <w:highlight w:val="none"/>
        </w:rPr>
        <w:t>作用的整体</w:t>
      </w:r>
      <w:r>
        <w:rPr>
          <w:rFonts w:hint="eastAsia"/>
          <w:color w:val="auto"/>
          <w:highlight w:val="none"/>
        </w:rPr>
        <w:t>。</w:t>
      </w:r>
    </w:p>
    <w:p>
      <w:pPr>
        <w:numPr>
          <w:ilvl w:val="0"/>
          <w:numId w:val="2"/>
        </w:numPr>
        <w:rPr>
          <w:color w:val="auto"/>
          <w:highlight w:val="none"/>
        </w:rPr>
      </w:pPr>
      <w:r>
        <w:rPr>
          <w:rFonts w:hint="eastAsia"/>
          <w:color w:val="auto"/>
          <w:highlight w:val="none"/>
        </w:rPr>
        <w:t>围</w:t>
      </w:r>
      <w:r>
        <w:rPr>
          <w:color w:val="auto"/>
          <w:highlight w:val="none"/>
        </w:rPr>
        <w:t xml:space="preserve">护系统 </w:t>
      </w:r>
      <w:r>
        <w:rPr>
          <w:rFonts w:hint="eastAsia"/>
          <w:color w:val="auto"/>
          <w:highlight w:val="none"/>
        </w:rPr>
        <w:t xml:space="preserve"> </w:t>
      </w:r>
      <w:r>
        <w:rPr>
          <w:color w:val="auto"/>
          <w:highlight w:val="none"/>
        </w:rPr>
        <w:t>building envelope system</w:t>
      </w:r>
    </w:p>
    <w:p>
      <w:pPr>
        <w:ind w:firstLine="440" w:firstLineChars="200"/>
        <w:rPr>
          <w:color w:val="auto"/>
          <w:highlight w:val="none"/>
        </w:rPr>
      </w:pPr>
      <w:r>
        <w:rPr>
          <w:color w:val="auto"/>
          <w:highlight w:val="none"/>
        </w:rPr>
        <w:t>由建筑外墙、屋面、外窗及其他</w:t>
      </w:r>
      <w:r>
        <w:rPr>
          <w:rFonts w:hint="eastAsia"/>
          <w:color w:val="auto"/>
          <w:highlight w:val="none"/>
        </w:rPr>
        <w:t>部</w:t>
      </w:r>
      <w:r>
        <w:rPr>
          <w:color w:val="auto"/>
          <w:highlight w:val="none"/>
        </w:rPr>
        <w:t>品部件等组成，用于分隔建筑室内外环境的部品部件的整体</w:t>
      </w:r>
      <w:r>
        <w:rPr>
          <w:rFonts w:hint="eastAsia"/>
          <w:color w:val="auto"/>
          <w:highlight w:val="none"/>
        </w:rPr>
        <w:t>。</w:t>
      </w:r>
    </w:p>
    <w:p>
      <w:pPr>
        <w:numPr>
          <w:ilvl w:val="0"/>
          <w:numId w:val="2"/>
        </w:numPr>
        <w:rPr>
          <w:color w:val="auto"/>
          <w:highlight w:val="none"/>
        </w:rPr>
      </w:pPr>
      <w:r>
        <w:rPr>
          <w:color w:val="auto"/>
          <w:highlight w:val="none"/>
        </w:rPr>
        <w:t>设备与管线系统</w:t>
      </w:r>
      <w:r>
        <w:rPr>
          <w:rFonts w:hint="eastAsia"/>
          <w:color w:val="auto"/>
          <w:highlight w:val="none"/>
        </w:rPr>
        <w:t xml:space="preserve"> </w:t>
      </w:r>
      <w:r>
        <w:rPr>
          <w:color w:val="auto"/>
          <w:highlight w:val="none"/>
        </w:rPr>
        <w:t xml:space="preserve"> facility and pipeline system</w:t>
      </w:r>
    </w:p>
    <w:p>
      <w:pPr>
        <w:pStyle w:val="47"/>
        <w:ind w:firstLine="441"/>
        <w:rPr>
          <w:color w:val="auto"/>
          <w:highlight w:val="none"/>
        </w:rPr>
      </w:pPr>
      <w:r>
        <w:rPr>
          <w:rFonts w:hint="eastAsia"/>
          <w:color w:val="auto"/>
          <w:highlight w:val="none"/>
        </w:rPr>
        <w:t>由给</w:t>
      </w:r>
      <w:r>
        <w:rPr>
          <w:color w:val="auto"/>
          <w:highlight w:val="none"/>
        </w:rPr>
        <w:t>水排水、供暖通风</w:t>
      </w:r>
      <w:r>
        <w:rPr>
          <w:rFonts w:hint="eastAsia"/>
          <w:color w:val="auto"/>
          <w:highlight w:val="none"/>
        </w:rPr>
        <w:t>空</w:t>
      </w:r>
      <w:r>
        <w:rPr>
          <w:color w:val="auto"/>
          <w:highlight w:val="none"/>
        </w:rPr>
        <w:t>调、</w:t>
      </w:r>
      <w:r>
        <w:rPr>
          <w:rFonts w:hint="eastAsia"/>
          <w:color w:val="auto"/>
          <w:highlight w:val="none"/>
        </w:rPr>
        <w:t>电气</w:t>
      </w:r>
      <w:r>
        <w:rPr>
          <w:color w:val="auto"/>
          <w:highlight w:val="none"/>
        </w:rPr>
        <w:t>和智能化、燃气等设备与管线组合而成，满足建筑使用功能的整体</w:t>
      </w:r>
      <w:r>
        <w:rPr>
          <w:rFonts w:hint="eastAsia"/>
          <w:color w:val="auto"/>
          <w:highlight w:val="none"/>
        </w:rPr>
        <w:t>。</w:t>
      </w:r>
    </w:p>
    <w:p>
      <w:pPr>
        <w:numPr>
          <w:ilvl w:val="0"/>
          <w:numId w:val="2"/>
        </w:numPr>
        <w:rPr>
          <w:color w:val="auto"/>
          <w:highlight w:val="none"/>
        </w:rPr>
      </w:pPr>
      <w:r>
        <w:rPr>
          <w:color w:val="auto"/>
          <w:highlight w:val="none"/>
        </w:rPr>
        <w:t>内装系统</w:t>
      </w:r>
      <w:r>
        <w:rPr>
          <w:rFonts w:hint="eastAsia"/>
          <w:color w:val="auto"/>
          <w:highlight w:val="none"/>
        </w:rPr>
        <w:t xml:space="preserve"> </w:t>
      </w:r>
      <w:r>
        <w:rPr>
          <w:color w:val="auto"/>
          <w:highlight w:val="none"/>
        </w:rPr>
        <w:t xml:space="preserve"> interior decoration system</w:t>
      </w:r>
    </w:p>
    <w:p>
      <w:pPr>
        <w:ind w:firstLine="420"/>
        <w:rPr>
          <w:color w:val="auto"/>
          <w:highlight w:val="none"/>
        </w:rPr>
      </w:pPr>
      <w:r>
        <w:rPr>
          <w:color w:val="auto"/>
          <w:highlight w:val="none"/>
        </w:rPr>
        <w:t>由楼地面、墙面、轻质隔墙、吊顶、内门窗、厨房和卫生间等组合而成，满足建筑</w:t>
      </w:r>
      <w:r>
        <w:rPr>
          <w:rFonts w:hint="eastAsia"/>
          <w:color w:val="auto"/>
          <w:highlight w:val="none"/>
        </w:rPr>
        <w:t>空</w:t>
      </w:r>
      <w:r>
        <w:rPr>
          <w:color w:val="auto"/>
          <w:highlight w:val="none"/>
        </w:rPr>
        <w:t>间使用要求的</w:t>
      </w:r>
      <w:r>
        <w:rPr>
          <w:rFonts w:hint="eastAsia"/>
          <w:color w:val="auto"/>
          <w:highlight w:val="none"/>
        </w:rPr>
        <w:t>整体。</w:t>
      </w:r>
    </w:p>
    <w:p>
      <w:pPr>
        <w:numPr>
          <w:ilvl w:val="0"/>
          <w:numId w:val="2"/>
        </w:numPr>
        <w:rPr>
          <w:color w:val="auto"/>
          <w:highlight w:val="none"/>
        </w:rPr>
      </w:pPr>
      <w:r>
        <w:rPr>
          <w:color w:val="auto"/>
          <w:highlight w:val="none"/>
        </w:rPr>
        <w:t>部件</w:t>
      </w:r>
      <w:r>
        <w:rPr>
          <w:rFonts w:hint="eastAsia"/>
          <w:color w:val="auto"/>
          <w:highlight w:val="none"/>
        </w:rPr>
        <w:t xml:space="preserve"> </w:t>
      </w:r>
      <w:r>
        <w:rPr>
          <w:color w:val="auto"/>
          <w:highlight w:val="none"/>
        </w:rPr>
        <w:t xml:space="preserve"> component</w:t>
      </w:r>
    </w:p>
    <w:p>
      <w:pPr>
        <w:pStyle w:val="47"/>
        <w:ind w:firstLine="441"/>
        <w:rPr>
          <w:color w:val="auto"/>
          <w:highlight w:val="none"/>
        </w:rPr>
      </w:pPr>
      <w:r>
        <w:rPr>
          <w:color w:val="auto"/>
          <w:highlight w:val="none"/>
        </w:rPr>
        <w:t>在工厂或现场预先生产</w:t>
      </w:r>
      <w:r>
        <w:rPr>
          <w:rFonts w:hint="eastAsia"/>
          <w:color w:val="auto"/>
          <w:highlight w:val="none"/>
        </w:rPr>
        <w:t>制造</w:t>
      </w:r>
      <w:r>
        <w:rPr>
          <w:color w:val="auto"/>
          <w:highlight w:val="none"/>
        </w:rPr>
        <w:t>完成，构成建筑结构系统的结构构件及其他构件的统称</w:t>
      </w:r>
      <w:r>
        <w:rPr>
          <w:rFonts w:hint="eastAsia"/>
          <w:color w:val="auto"/>
          <w:highlight w:val="none"/>
        </w:rPr>
        <w:t>。</w:t>
      </w:r>
    </w:p>
    <w:p>
      <w:pPr>
        <w:numPr>
          <w:ilvl w:val="0"/>
          <w:numId w:val="2"/>
        </w:numPr>
        <w:rPr>
          <w:color w:val="auto"/>
          <w:highlight w:val="none"/>
        </w:rPr>
      </w:pPr>
      <w:r>
        <w:rPr>
          <w:color w:val="auto"/>
          <w:highlight w:val="none"/>
        </w:rPr>
        <w:t xml:space="preserve">部品 </w:t>
      </w:r>
      <w:r>
        <w:rPr>
          <w:rFonts w:hint="eastAsia"/>
          <w:color w:val="auto"/>
          <w:highlight w:val="none"/>
        </w:rPr>
        <w:t xml:space="preserve"> </w:t>
      </w:r>
      <w:r>
        <w:rPr>
          <w:color w:val="auto"/>
          <w:highlight w:val="none"/>
        </w:rPr>
        <w:t>part</w:t>
      </w:r>
    </w:p>
    <w:p>
      <w:pPr>
        <w:pStyle w:val="47"/>
        <w:ind w:firstLine="441"/>
        <w:rPr>
          <w:color w:val="auto"/>
          <w:highlight w:val="none"/>
        </w:rPr>
      </w:pPr>
      <w:r>
        <w:rPr>
          <w:color w:val="auto"/>
          <w:highlight w:val="none"/>
        </w:rPr>
        <w:t>由工厂生产，构成</w:t>
      </w:r>
      <w:r>
        <w:rPr>
          <w:rFonts w:hint="eastAsia"/>
          <w:color w:val="auto"/>
          <w:highlight w:val="none"/>
        </w:rPr>
        <w:t>围</w:t>
      </w:r>
      <w:r>
        <w:rPr>
          <w:color w:val="auto"/>
          <w:highlight w:val="none"/>
        </w:rPr>
        <w:t>护系统、设备与管线系统、内装系统的建筑单一产品或复合产品组装而成的功能单元的统称</w:t>
      </w:r>
      <w:r>
        <w:rPr>
          <w:rFonts w:hint="eastAsia"/>
          <w:color w:val="auto"/>
          <w:highlight w:val="none"/>
        </w:rPr>
        <w:t>。</w:t>
      </w:r>
    </w:p>
    <w:p>
      <w:pPr>
        <w:numPr>
          <w:ilvl w:val="0"/>
          <w:numId w:val="2"/>
        </w:numPr>
        <w:rPr>
          <w:color w:val="auto"/>
          <w:highlight w:val="none"/>
        </w:rPr>
      </w:pPr>
      <w:r>
        <w:rPr>
          <w:rFonts w:hint="eastAsia"/>
          <w:color w:val="auto"/>
          <w:highlight w:val="none"/>
        </w:rPr>
        <w:t xml:space="preserve">混凝土模块单元 </w:t>
      </w:r>
      <w:r>
        <w:rPr>
          <w:color w:val="auto"/>
          <w:highlight w:val="none"/>
        </w:rPr>
        <w:t xml:space="preserve"> concrete</w:t>
      </w:r>
      <w:r>
        <w:rPr>
          <w:rFonts w:hint="eastAsia"/>
          <w:color w:val="auto"/>
          <w:highlight w:val="none"/>
        </w:rPr>
        <w:t xml:space="preserve"> </w:t>
      </w:r>
      <w:r>
        <w:rPr>
          <w:color w:val="auto"/>
          <w:highlight w:val="none"/>
        </w:rPr>
        <w:t>modular unit</w:t>
      </w:r>
    </w:p>
    <w:p>
      <w:pPr>
        <w:ind w:firstLine="440" w:firstLineChars="200"/>
        <w:rPr>
          <w:color w:val="auto"/>
          <w:highlight w:val="none"/>
        </w:rPr>
      </w:pPr>
      <w:r>
        <w:rPr>
          <w:color w:val="auto"/>
          <w:highlight w:val="none"/>
        </w:rPr>
        <w:t>框架式模块</w:t>
      </w:r>
      <w:r>
        <w:rPr>
          <w:rFonts w:hint="eastAsia"/>
          <w:color w:val="auto"/>
          <w:highlight w:val="none"/>
        </w:rPr>
        <w:t>单元、全预制剪力墙式模块单元、叠合剪力墙式</w:t>
      </w:r>
      <w:r>
        <w:rPr>
          <w:color w:val="auto"/>
          <w:highlight w:val="none"/>
        </w:rPr>
        <w:t>模块</w:t>
      </w:r>
      <w:r>
        <w:rPr>
          <w:rFonts w:hint="eastAsia"/>
          <w:color w:val="auto"/>
          <w:highlight w:val="none"/>
        </w:rPr>
        <w:t>单元和</w:t>
      </w:r>
      <w:r>
        <w:rPr>
          <w:color w:val="auto"/>
          <w:highlight w:val="none"/>
        </w:rPr>
        <w:t>箱模式模块</w:t>
      </w:r>
      <w:r>
        <w:rPr>
          <w:rFonts w:hint="eastAsia"/>
          <w:color w:val="auto"/>
          <w:highlight w:val="none"/>
        </w:rPr>
        <w:t>单元</w:t>
      </w:r>
      <w:r>
        <w:rPr>
          <w:color w:val="auto"/>
          <w:highlight w:val="none"/>
        </w:rPr>
        <w:t>的统称，是混凝土模块化建筑的基本单元</w:t>
      </w:r>
      <w:r>
        <w:rPr>
          <w:rFonts w:hint="eastAsia"/>
          <w:color w:val="auto"/>
          <w:highlight w:val="none"/>
        </w:rPr>
        <w:t>，简称模块单元。</w:t>
      </w:r>
    </w:p>
    <w:p>
      <w:pPr>
        <w:numPr>
          <w:ilvl w:val="0"/>
          <w:numId w:val="2"/>
        </w:numPr>
        <w:rPr>
          <w:color w:val="auto"/>
          <w:highlight w:val="none"/>
        </w:rPr>
      </w:pPr>
      <w:r>
        <w:rPr>
          <w:rFonts w:hint="eastAsia"/>
          <w:color w:val="auto"/>
          <w:highlight w:val="none"/>
        </w:rPr>
        <w:t xml:space="preserve">框架式模块单元  </w:t>
      </w:r>
      <w:r>
        <w:rPr>
          <w:color w:val="auto"/>
          <w:highlight w:val="none"/>
        </w:rPr>
        <w:t>framework modular unit</w:t>
      </w:r>
    </w:p>
    <w:p>
      <w:pPr>
        <w:ind w:firstLine="440" w:firstLineChars="200"/>
        <w:rPr>
          <w:color w:val="auto"/>
          <w:highlight w:val="none"/>
        </w:rPr>
      </w:pPr>
      <w:r>
        <w:rPr>
          <w:color w:val="auto"/>
          <w:highlight w:val="none"/>
        </w:rPr>
        <w:t>在工厂预制完成，由框架结构梁、柱、顶板及轻质墙板等共同</w:t>
      </w:r>
      <w:r>
        <w:rPr>
          <w:rFonts w:hint="eastAsia"/>
          <w:color w:val="auto"/>
          <w:highlight w:val="none"/>
        </w:rPr>
        <w:t>组成</w:t>
      </w:r>
      <w:r>
        <w:rPr>
          <w:color w:val="auto"/>
          <w:highlight w:val="none"/>
        </w:rPr>
        <w:t>的标准化建筑空间模块。</w:t>
      </w:r>
    </w:p>
    <w:p>
      <w:pPr>
        <w:jc w:val="center"/>
        <w:rPr>
          <w:color w:val="auto"/>
          <w:highlight w:val="none"/>
        </w:rPr>
      </w:pPr>
      <w:r>
        <w:rPr>
          <w:color w:val="auto"/>
          <w:highlight w:val="none"/>
        </w:rPr>
        <w:drawing>
          <wp:inline distT="0" distB="0" distL="114300" distR="114300">
            <wp:extent cx="2538095" cy="1619885"/>
            <wp:effectExtent l="0" t="0" r="6985" b="1079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3"/>
                    <a:stretch>
                      <a:fillRect/>
                    </a:stretch>
                  </pic:blipFill>
                  <pic:spPr>
                    <a:xfrm>
                      <a:off x="0" y="0"/>
                      <a:ext cx="2538095" cy="1619885"/>
                    </a:xfrm>
                    <a:prstGeom prst="rect">
                      <a:avLst/>
                    </a:prstGeom>
                    <a:noFill/>
                    <a:ln>
                      <a:noFill/>
                    </a:ln>
                  </pic:spPr>
                </pic:pic>
              </a:graphicData>
            </a:graphic>
          </wp:inline>
        </w:drawing>
      </w:r>
    </w:p>
    <w:p>
      <w:pPr>
        <w:jc w:val="center"/>
        <w:rPr>
          <w:rFonts w:eastAsia="仿宋"/>
          <w:b/>
          <w:bCs/>
          <w:color w:val="auto"/>
          <w:highlight w:val="none"/>
        </w:rPr>
      </w:pPr>
      <w:r>
        <w:rPr>
          <w:rFonts w:eastAsia="仿宋"/>
          <w:b/>
          <w:bCs/>
          <w:color w:val="auto"/>
          <w:highlight w:val="none"/>
        </w:rPr>
        <w:t>图2</w:t>
      </w:r>
      <w:r>
        <w:rPr>
          <w:rFonts w:hint="eastAsia" w:ascii="仿宋" w:hAnsi="仿宋" w:eastAsia="仿宋" w:cs="仿宋"/>
          <w:b/>
          <w:bCs/>
          <w:color w:val="auto"/>
          <w:highlight w:val="none"/>
        </w:rPr>
        <w:t>.</w:t>
      </w:r>
      <w:r>
        <w:rPr>
          <w:rFonts w:eastAsia="仿宋"/>
          <w:b/>
          <w:bCs/>
          <w:color w:val="auto"/>
          <w:highlight w:val="none"/>
        </w:rPr>
        <w:t>0</w:t>
      </w:r>
      <w:r>
        <w:rPr>
          <w:rFonts w:hint="eastAsia" w:ascii="仿宋" w:hAnsi="仿宋" w:eastAsia="仿宋" w:cs="仿宋"/>
          <w:b/>
          <w:bCs/>
          <w:color w:val="auto"/>
          <w:highlight w:val="none"/>
        </w:rPr>
        <w:t>.</w:t>
      </w:r>
      <w:r>
        <w:rPr>
          <w:rFonts w:eastAsia="仿宋"/>
          <w:b/>
          <w:bCs/>
          <w:color w:val="auto"/>
          <w:highlight w:val="none"/>
        </w:rPr>
        <w:t>10  框架式模块单元</w:t>
      </w:r>
    </w:p>
    <w:p>
      <w:pPr>
        <w:jc w:val="center"/>
        <w:rPr>
          <w:rFonts w:eastAsia="仿宋"/>
          <w:color w:val="auto"/>
          <w:sz w:val="18"/>
          <w:szCs w:val="20"/>
          <w:highlight w:val="none"/>
        </w:rPr>
      </w:pPr>
      <w:r>
        <w:rPr>
          <w:rFonts w:eastAsia="仿宋"/>
          <w:color w:val="auto"/>
          <w:sz w:val="18"/>
          <w:szCs w:val="20"/>
          <w:highlight w:val="none"/>
        </w:rPr>
        <w:t>1—框架梁；2—框架柱；3—顶板；4—窗洞口；5—门洞口；6—轻质隔墙</w:t>
      </w:r>
    </w:p>
    <w:p>
      <w:pPr>
        <w:numPr>
          <w:ilvl w:val="0"/>
          <w:numId w:val="2"/>
        </w:numPr>
        <w:rPr>
          <w:color w:val="auto"/>
          <w:highlight w:val="none"/>
        </w:rPr>
      </w:pPr>
      <w:r>
        <w:rPr>
          <w:rFonts w:hint="eastAsia"/>
          <w:color w:val="auto"/>
          <w:highlight w:val="none"/>
        </w:rPr>
        <w:t>全预制剪力墙式模块单元</w:t>
      </w:r>
      <w:r>
        <w:rPr>
          <w:color w:val="auto"/>
          <w:highlight w:val="none"/>
        </w:rPr>
        <w:t xml:space="preserve">  </w:t>
      </w:r>
      <w:r>
        <w:rPr>
          <w:rFonts w:hint="eastAsia"/>
          <w:color w:val="auto"/>
          <w:highlight w:val="none"/>
        </w:rPr>
        <w:t>shearwall</w:t>
      </w:r>
      <w:r>
        <w:rPr>
          <w:color w:val="auto"/>
          <w:highlight w:val="none"/>
        </w:rPr>
        <w:t xml:space="preserve"> modul</w:t>
      </w:r>
      <w:r>
        <w:rPr>
          <w:rFonts w:hint="eastAsia"/>
          <w:color w:val="auto"/>
          <w:highlight w:val="none"/>
        </w:rPr>
        <w:t>ar unit</w:t>
      </w:r>
    </w:p>
    <w:p>
      <w:pPr>
        <w:ind w:firstLine="440" w:firstLineChars="200"/>
        <w:rPr>
          <w:color w:val="auto"/>
          <w:highlight w:val="none"/>
        </w:rPr>
      </w:pPr>
      <w:r>
        <w:rPr>
          <w:color w:val="auto"/>
          <w:highlight w:val="none"/>
        </w:rPr>
        <w:t>在工厂</w:t>
      </w:r>
      <w:r>
        <w:rPr>
          <w:rFonts w:hint="eastAsia"/>
          <w:color w:val="auto"/>
          <w:highlight w:val="none"/>
        </w:rPr>
        <w:t>预制完成，由预制剪力墙构件</w:t>
      </w:r>
      <w:r>
        <w:rPr>
          <w:color w:val="auto"/>
          <w:highlight w:val="none"/>
        </w:rPr>
        <w:t>、顶板</w:t>
      </w:r>
      <w:r>
        <w:rPr>
          <w:rFonts w:hint="eastAsia"/>
          <w:color w:val="auto"/>
          <w:highlight w:val="none"/>
        </w:rPr>
        <w:t>、</w:t>
      </w:r>
      <w:r>
        <w:rPr>
          <w:color w:val="auto"/>
          <w:highlight w:val="none"/>
        </w:rPr>
        <w:t>底板</w:t>
      </w:r>
      <w:r>
        <w:rPr>
          <w:rFonts w:hint="eastAsia"/>
          <w:color w:val="auto"/>
          <w:highlight w:val="none"/>
        </w:rPr>
        <w:t>、</w:t>
      </w:r>
      <w:r>
        <w:rPr>
          <w:color w:val="auto"/>
          <w:highlight w:val="none"/>
        </w:rPr>
        <w:t>模壳板</w:t>
      </w:r>
      <w:r>
        <w:rPr>
          <w:rFonts w:hint="eastAsia"/>
          <w:color w:val="auto"/>
          <w:highlight w:val="none"/>
        </w:rPr>
        <w:t>及轻质</w:t>
      </w:r>
      <w:r>
        <w:rPr>
          <w:color w:val="auto"/>
          <w:highlight w:val="none"/>
        </w:rPr>
        <w:t>墙</w:t>
      </w:r>
      <w:r>
        <w:rPr>
          <w:rFonts w:hint="eastAsia"/>
          <w:color w:val="auto"/>
          <w:highlight w:val="none"/>
        </w:rPr>
        <w:t>板</w:t>
      </w:r>
      <w:r>
        <w:rPr>
          <w:color w:val="auto"/>
          <w:highlight w:val="none"/>
        </w:rPr>
        <w:t>等共同</w:t>
      </w:r>
      <w:r>
        <w:rPr>
          <w:rFonts w:hint="eastAsia"/>
          <w:color w:val="auto"/>
          <w:highlight w:val="none"/>
        </w:rPr>
        <w:t>组成</w:t>
      </w:r>
      <w:r>
        <w:rPr>
          <w:color w:val="auto"/>
          <w:highlight w:val="none"/>
        </w:rPr>
        <w:t>的标准化建筑</w:t>
      </w:r>
      <w:r>
        <w:rPr>
          <w:rFonts w:hint="eastAsia"/>
          <w:color w:val="auto"/>
          <w:highlight w:val="none"/>
        </w:rPr>
        <w:t>模块；其中模壳板作为现场局部浇筑混凝土时的免拆模板使用。</w:t>
      </w:r>
    </w:p>
    <w:p>
      <w:pPr>
        <w:jc w:val="center"/>
        <w:rPr>
          <w:color w:val="auto"/>
          <w:highlight w:val="none"/>
        </w:rPr>
      </w:pPr>
      <w:r>
        <w:rPr>
          <w:color w:val="auto"/>
          <w:highlight w:val="none"/>
        </w:rPr>
        <w:drawing>
          <wp:inline distT="0" distB="0" distL="114300" distR="114300">
            <wp:extent cx="2577465" cy="1619885"/>
            <wp:effectExtent l="0" t="0" r="13335" b="10795"/>
            <wp:docPr id="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pic:cNvPicPr>
                      <a:picLocks noChangeAspect="1"/>
                    </pic:cNvPicPr>
                  </pic:nvPicPr>
                  <pic:blipFill>
                    <a:blip r:embed="rId14"/>
                    <a:stretch>
                      <a:fillRect/>
                    </a:stretch>
                  </pic:blipFill>
                  <pic:spPr>
                    <a:xfrm>
                      <a:off x="0" y="0"/>
                      <a:ext cx="2577465" cy="1619885"/>
                    </a:xfrm>
                    <a:prstGeom prst="rect">
                      <a:avLst/>
                    </a:prstGeom>
                    <a:noFill/>
                    <a:ln>
                      <a:noFill/>
                    </a:ln>
                  </pic:spPr>
                </pic:pic>
              </a:graphicData>
            </a:graphic>
          </wp:inline>
        </w:drawing>
      </w:r>
    </w:p>
    <w:p>
      <w:pPr>
        <w:jc w:val="center"/>
        <w:rPr>
          <w:rFonts w:eastAsia="仿宋"/>
          <w:b/>
          <w:bCs/>
          <w:color w:val="auto"/>
          <w:highlight w:val="none"/>
        </w:rPr>
      </w:pPr>
      <w:r>
        <w:rPr>
          <w:rFonts w:eastAsia="仿宋"/>
          <w:b/>
          <w:bCs/>
          <w:color w:val="auto"/>
          <w:highlight w:val="none"/>
        </w:rPr>
        <w:t>图2</w:t>
      </w:r>
      <w:r>
        <w:rPr>
          <w:rFonts w:hint="eastAsia" w:ascii="仿宋" w:hAnsi="仿宋" w:eastAsia="仿宋" w:cs="仿宋"/>
          <w:b/>
          <w:bCs/>
          <w:color w:val="auto"/>
          <w:highlight w:val="none"/>
        </w:rPr>
        <w:t>.</w:t>
      </w:r>
      <w:r>
        <w:rPr>
          <w:rFonts w:eastAsia="仿宋"/>
          <w:b/>
          <w:bCs/>
          <w:color w:val="auto"/>
          <w:highlight w:val="none"/>
        </w:rPr>
        <w:t>0</w:t>
      </w:r>
      <w:r>
        <w:rPr>
          <w:rFonts w:hint="eastAsia" w:ascii="仿宋" w:hAnsi="仿宋" w:eastAsia="仿宋" w:cs="仿宋"/>
          <w:b/>
          <w:bCs/>
          <w:color w:val="auto"/>
          <w:highlight w:val="none"/>
        </w:rPr>
        <w:t>.</w:t>
      </w:r>
      <w:r>
        <w:rPr>
          <w:rFonts w:eastAsia="仿宋"/>
          <w:b/>
          <w:bCs/>
          <w:color w:val="auto"/>
          <w:highlight w:val="none"/>
        </w:rPr>
        <w:t>11  全预制剪力墙式模块单元</w:t>
      </w:r>
    </w:p>
    <w:p>
      <w:pPr>
        <w:jc w:val="center"/>
        <w:rPr>
          <w:rFonts w:eastAsia="仿宋"/>
          <w:color w:val="auto"/>
          <w:sz w:val="18"/>
          <w:szCs w:val="20"/>
          <w:highlight w:val="none"/>
        </w:rPr>
      </w:pPr>
      <w:r>
        <w:rPr>
          <w:rFonts w:eastAsia="仿宋"/>
          <w:color w:val="auto"/>
          <w:sz w:val="18"/>
          <w:szCs w:val="20"/>
          <w:highlight w:val="none"/>
        </w:rPr>
        <w:t>1—全预制剪力墙；2—梁模；3—顶板；4—轻质隔墙；5—窗洞口</w:t>
      </w:r>
    </w:p>
    <w:p>
      <w:pPr>
        <w:numPr>
          <w:ilvl w:val="0"/>
          <w:numId w:val="2"/>
        </w:numPr>
        <w:rPr>
          <w:color w:val="auto"/>
          <w:highlight w:val="none"/>
        </w:rPr>
      </w:pPr>
      <w:r>
        <w:rPr>
          <w:rFonts w:hint="eastAsia"/>
          <w:color w:val="auto"/>
          <w:highlight w:val="none"/>
        </w:rPr>
        <w:t>叠合剪力墙式模块单元  superimposed shearwall modular unit</w:t>
      </w:r>
    </w:p>
    <w:p>
      <w:pPr>
        <w:ind w:firstLine="440" w:firstLineChars="200"/>
        <w:rPr>
          <w:color w:val="auto"/>
          <w:highlight w:val="none"/>
        </w:rPr>
      </w:pPr>
      <w:r>
        <w:rPr>
          <w:color w:val="auto"/>
          <w:highlight w:val="none"/>
        </w:rPr>
        <w:t>在工厂</w:t>
      </w:r>
      <w:r>
        <w:rPr>
          <w:rFonts w:hint="eastAsia"/>
          <w:color w:val="auto"/>
          <w:highlight w:val="none"/>
        </w:rPr>
        <w:t>预制完成，由叠合剪力墙构件</w:t>
      </w:r>
      <w:r>
        <w:rPr>
          <w:color w:val="auto"/>
          <w:highlight w:val="none"/>
        </w:rPr>
        <w:t>、模壳板</w:t>
      </w:r>
      <w:r>
        <w:rPr>
          <w:rFonts w:hint="eastAsia"/>
          <w:color w:val="auto"/>
          <w:highlight w:val="none"/>
        </w:rPr>
        <w:t>、</w:t>
      </w:r>
      <w:r>
        <w:rPr>
          <w:color w:val="auto"/>
          <w:highlight w:val="none"/>
        </w:rPr>
        <w:t>顶板</w:t>
      </w:r>
      <w:r>
        <w:rPr>
          <w:rFonts w:hint="eastAsia"/>
          <w:color w:val="auto"/>
          <w:highlight w:val="none"/>
        </w:rPr>
        <w:t>、</w:t>
      </w:r>
      <w:r>
        <w:rPr>
          <w:color w:val="auto"/>
          <w:highlight w:val="none"/>
        </w:rPr>
        <w:t>底板</w:t>
      </w:r>
      <w:r>
        <w:rPr>
          <w:rFonts w:hint="eastAsia"/>
          <w:color w:val="auto"/>
          <w:highlight w:val="none"/>
        </w:rPr>
        <w:t>及轻质</w:t>
      </w:r>
      <w:r>
        <w:rPr>
          <w:color w:val="auto"/>
          <w:highlight w:val="none"/>
        </w:rPr>
        <w:t>墙</w:t>
      </w:r>
      <w:r>
        <w:rPr>
          <w:rFonts w:hint="eastAsia"/>
          <w:color w:val="auto"/>
          <w:highlight w:val="none"/>
        </w:rPr>
        <w:t>板</w:t>
      </w:r>
      <w:r>
        <w:rPr>
          <w:color w:val="auto"/>
          <w:highlight w:val="none"/>
        </w:rPr>
        <w:t>等共同</w:t>
      </w:r>
      <w:r>
        <w:rPr>
          <w:rFonts w:hint="eastAsia"/>
          <w:color w:val="auto"/>
          <w:highlight w:val="none"/>
        </w:rPr>
        <w:t>组成</w:t>
      </w:r>
      <w:r>
        <w:rPr>
          <w:color w:val="auto"/>
          <w:highlight w:val="none"/>
        </w:rPr>
        <w:t>的标准化建筑模块</w:t>
      </w:r>
      <w:r>
        <w:rPr>
          <w:rFonts w:hint="eastAsia"/>
          <w:color w:val="auto"/>
          <w:highlight w:val="none"/>
        </w:rPr>
        <w:t>；其中叠合剪力墙构件和</w:t>
      </w:r>
      <w:r>
        <w:rPr>
          <w:color w:val="auto"/>
          <w:highlight w:val="none"/>
        </w:rPr>
        <w:t>模壳板作为现场浇筑混凝土</w:t>
      </w:r>
      <w:r>
        <w:rPr>
          <w:rFonts w:hint="eastAsia"/>
          <w:color w:val="auto"/>
          <w:highlight w:val="none"/>
        </w:rPr>
        <w:t>时的模板使用</w:t>
      </w:r>
      <w:r>
        <w:rPr>
          <w:color w:val="auto"/>
          <w:highlight w:val="none"/>
        </w:rPr>
        <w:t>。</w:t>
      </w:r>
    </w:p>
    <w:p>
      <w:pPr>
        <w:jc w:val="center"/>
        <w:rPr>
          <w:color w:val="auto"/>
          <w:highlight w:val="none"/>
        </w:rPr>
      </w:pPr>
      <w:r>
        <w:rPr>
          <w:color w:val="auto"/>
          <w:highlight w:val="none"/>
        </w:rPr>
        <w:drawing>
          <wp:inline distT="0" distB="0" distL="114300" distR="114300">
            <wp:extent cx="2293620" cy="1619885"/>
            <wp:effectExtent l="0" t="0" r="7620" b="10795"/>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15"/>
                    <a:stretch>
                      <a:fillRect/>
                    </a:stretch>
                  </pic:blipFill>
                  <pic:spPr>
                    <a:xfrm>
                      <a:off x="0" y="0"/>
                      <a:ext cx="2293620" cy="1619885"/>
                    </a:xfrm>
                    <a:prstGeom prst="rect">
                      <a:avLst/>
                    </a:prstGeom>
                    <a:noFill/>
                    <a:ln>
                      <a:noFill/>
                    </a:ln>
                  </pic:spPr>
                </pic:pic>
              </a:graphicData>
            </a:graphic>
          </wp:inline>
        </w:drawing>
      </w:r>
    </w:p>
    <w:p>
      <w:pPr>
        <w:jc w:val="center"/>
        <w:rPr>
          <w:rFonts w:eastAsia="仿宋"/>
          <w:b/>
          <w:bCs/>
          <w:color w:val="auto"/>
          <w:highlight w:val="none"/>
        </w:rPr>
      </w:pPr>
      <w:r>
        <w:rPr>
          <w:rFonts w:eastAsia="仿宋"/>
          <w:b/>
          <w:bCs/>
          <w:color w:val="auto"/>
          <w:highlight w:val="none"/>
        </w:rPr>
        <w:t>图2</w:t>
      </w:r>
      <w:r>
        <w:rPr>
          <w:rFonts w:hint="eastAsia" w:ascii="仿宋" w:hAnsi="仿宋" w:eastAsia="仿宋" w:cs="仿宋"/>
          <w:b/>
          <w:bCs/>
          <w:color w:val="auto"/>
          <w:highlight w:val="none"/>
        </w:rPr>
        <w:t>.</w:t>
      </w:r>
      <w:r>
        <w:rPr>
          <w:rFonts w:eastAsia="仿宋"/>
          <w:b/>
          <w:bCs/>
          <w:color w:val="auto"/>
          <w:highlight w:val="none"/>
        </w:rPr>
        <w:t>0</w:t>
      </w:r>
      <w:r>
        <w:rPr>
          <w:rFonts w:hint="eastAsia" w:ascii="仿宋" w:hAnsi="仿宋" w:eastAsia="仿宋" w:cs="仿宋"/>
          <w:b/>
          <w:bCs/>
          <w:color w:val="auto"/>
          <w:highlight w:val="none"/>
        </w:rPr>
        <w:t>.</w:t>
      </w:r>
      <w:r>
        <w:rPr>
          <w:rFonts w:eastAsia="仿宋"/>
          <w:b/>
          <w:bCs/>
          <w:color w:val="auto"/>
          <w:highlight w:val="none"/>
        </w:rPr>
        <w:t>12  叠合剪力墙式模块单元</w:t>
      </w:r>
    </w:p>
    <w:p>
      <w:pPr>
        <w:jc w:val="center"/>
        <w:rPr>
          <w:rFonts w:eastAsia="仿宋"/>
          <w:color w:val="auto"/>
          <w:sz w:val="18"/>
          <w:szCs w:val="20"/>
          <w:highlight w:val="none"/>
        </w:rPr>
      </w:pPr>
      <w:r>
        <w:rPr>
          <w:rFonts w:eastAsia="仿宋"/>
          <w:color w:val="auto"/>
          <w:sz w:val="18"/>
          <w:szCs w:val="20"/>
          <w:highlight w:val="none"/>
        </w:rPr>
        <w:t>1—叠合剪力墙；2—梁模；3—顶板；4—底板；5—轻质隔墙；6—洞口</w:t>
      </w:r>
    </w:p>
    <w:p>
      <w:pPr>
        <w:numPr>
          <w:ilvl w:val="0"/>
          <w:numId w:val="2"/>
        </w:numPr>
        <w:rPr>
          <w:color w:val="auto"/>
          <w:highlight w:val="none"/>
        </w:rPr>
      </w:pPr>
      <w:r>
        <w:rPr>
          <w:rFonts w:hint="eastAsia"/>
          <w:color w:val="auto"/>
          <w:highlight w:val="none"/>
        </w:rPr>
        <w:t>箱模式模块单元  box formwork modular unit</w:t>
      </w:r>
    </w:p>
    <w:p>
      <w:pPr>
        <w:ind w:firstLine="440" w:firstLineChars="200"/>
        <w:rPr>
          <w:color w:val="auto"/>
          <w:highlight w:val="none"/>
        </w:rPr>
      </w:pPr>
      <w:r>
        <w:rPr>
          <w:color w:val="auto"/>
          <w:highlight w:val="none"/>
        </w:rPr>
        <w:t>在工厂</w:t>
      </w:r>
      <w:r>
        <w:rPr>
          <w:rFonts w:hint="eastAsia"/>
          <w:color w:val="auto"/>
          <w:highlight w:val="none"/>
        </w:rPr>
        <w:t>预制完成，由</w:t>
      </w:r>
      <w:r>
        <w:rPr>
          <w:color w:val="auto"/>
          <w:highlight w:val="none"/>
        </w:rPr>
        <w:t>模壳板、顶板</w:t>
      </w:r>
      <w:r>
        <w:rPr>
          <w:rFonts w:hint="eastAsia"/>
          <w:color w:val="auto"/>
          <w:highlight w:val="none"/>
        </w:rPr>
        <w:t>、</w:t>
      </w:r>
      <w:r>
        <w:rPr>
          <w:color w:val="auto"/>
          <w:highlight w:val="none"/>
        </w:rPr>
        <w:t>底板</w:t>
      </w:r>
      <w:r>
        <w:rPr>
          <w:rFonts w:hint="eastAsia"/>
          <w:color w:val="auto"/>
          <w:highlight w:val="none"/>
        </w:rPr>
        <w:t>及轻质</w:t>
      </w:r>
      <w:r>
        <w:rPr>
          <w:color w:val="auto"/>
          <w:highlight w:val="none"/>
        </w:rPr>
        <w:t>墙</w:t>
      </w:r>
      <w:r>
        <w:rPr>
          <w:rFonts w:hint="eastAsia"/>
          <w:color w:val="auto"/>
          <w:highlight w:val="none"/>
        </w:rPr>
        <w:t>板</w:t>
      </w:r>
      <w:r>
        <w:rPr>
          <w:color w:val="auto"/>
          <w:highlight w:val="none"/>
        </w:rPr>
        <w:t>等共同</w:t>
      </w:r>
      <w:r>
        <w:rPr>
          <w:rFonts w:hint="eastAsia"/>
          <w:color w:val="auto"/>
          <w:highlight w:val="none"/>
        </w:rPr>
        <w:t>组成</w:t>
      </w:r>
      <w:r>
        <w:rPr>
          <w:color w:val="auto"/>
          <w:highlight w:val="none"/>
        </w:rPr>
        <w:t>的标准化建筑空间模块</w:t>
      </w:r>
      <w:r>
        <w:rPr>
          <w:rFonts w:hint="eastAsia"/>
          <w:color w:val="auto"/>
          <w:highlight w:val="none"/>
        </w:rPr>
        <w:t>；其中</w:t>
      </w:r>
      <w:r>
        <w:rPr>
          <w:color w:val="auto"/>
          <w:highlight w:val="none"/>
        </w:rPr>
        <w:t>模壳板可作为现场浇筑混凝土剪力墙、梁、柱等</w:t>
      </w:r>
      <w:r>
        <w:rPr>
          <w:rFonts w:hint="eastAsia"/>
          <w:color w:val="auto"/>
          <w:highlight w:val="none"/>
        </w:rPr>
        <w:t>结构</w:t>
      </w:r>
      <w:r>
        <w:rPr>
          <w:color w:val="auto"/>
          <w:highlight w:val="none"/>
        </w:rPr>
        <w:t>构件的施工模板。</w:t>
      </w:r>
    </w:p>
    <w:tbl>
      <w:tblPr>
        <w:tblStyle w:val="24"/>
        <w:tblW w:w="0" w:type="auto"/>
        <w:jc w:val="center"/>
        <w:tblLayout w:type="autofit"/>
        <w:tblCellMar>
          <w:top w:w="0" w:type="dxa"/>
          <w:left w:w="108" w:type="dxa"/>
          <w:bottom w:w="0" w:type="dxa"/>
          <w:right w:w="108" w:type="dxa"/>
        </w:tblCellMar>
      </w:tblPr>
      <w:tblGrid>
        <w:gridCol w:w="4440"/>
        <w:gridCol w:w="4261"/>
      </w:tblGrid>
      <w:tr>
        <w:tblPrEx>
          <w:tblCellMar>
            <w:top w:w="0" w:type="dxa"/>
            <w:left w:w="108" w:type="dxa"/>
            <w:bottom w:w="0" w:type="dxa"/>
            <w:right w:w="108" w:type="dxa"/>
          </w:tblCellMar>
        </w:tblPrEx>
        <w:trPr>
          <w:jc w:val="center"/>
        </w:trPr>
        <w:tc>
          <w:tcPr>
            <w:tcW w:w="4261" w:type="dxa"/>
            <w:vAlign w:val="center"/>
          </w:tcPr>
          <w:p>
            <w:pPr>
              <w:adjustRightInd w:val="0"/>
              <w:snapToGrid w:val="0"/>
              <w:jc w:val="center"/>
              <w:rPr>
                <w:rFonts w:eastAsia="楷体"/>
                <w:color w:val="auto"/>
                <w:szCs w:val="21"/>
                <w:highlight w:val="none"/>
              </w:rPr>
            </w:pPr>
            <w:r>
              <w:rPr>
                <w:color w:val="auto"/>
                <w:highlight w:val="none"/>
              </w:rPr>
              <w:drawing>
                <wp:inline distT="0" distB="0" distL="114300" distR="114300">
                  <wp:extent cx="2675890" cy="1619885"/>
                  <wp:effectExtent l="0" t="0" r="6350" b="10795"/>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6"/>
                          <a:stretch>
                            <a:fillRect/>
                          </a:stretch>
                        </pic:blipFill>
                        <pic:spPr>
                          <a:xfrm>
                            <a:off x="0" y="0"/>
                            <a:ext cx="2675890" cy="1619885"/>
                          </a:xfrm>
                          <a:prstGeom prst="rect">
                            <a:avLst/>
                          </a:prstGeom>
                          <a:noFill/>
                          <a:ln>
                            <a:noFill/>
                          </a:ln>
                        </pic:spPr>
                      </pic:pic>
                    </a:graphicData>
                  </a:graphic>
                </wp:inline>
              </w:drawing>
            </w:r>
          </w:p>
        </w:tc>
        <w:tc>
          <w:tcPr>
            <w:tcW w:w="4261" w:type="dxa"/>
            <w:vAlign w:val="center"/>
          </w:tcPr>
          <w:p>
            <w:pPr>
              <w:adjustRightInd w:val="0"/>
              <w:snapToGrid w:val="0"/>
              <w:jc w:val="center"/>
              <w:rPr>
                <w:rFonts w:eastAsia="楷体"/>
                <w:color w:val="auto"/>
                <w:szCs w:val="21"/>
                <w:highlight w:val="none"/>
              </w:rPr>
            </w:pPr>
            <w:r>
              <w:rPr>
                <w:color w:val="auto"/>
                <w:highlight w:val="none"/>
              </w:rPr>
              <w:drawing>
                <wp:inline distT="0" distB="0" distL="114300" distR="114300">
                  <wp:extent cx="2249170" cy="1619885"/>
                  <wp:effectExtent l="0" t="0" r="6350"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2249170" cy="1619885"/>
                          </a:xfrm>
                          <a:prstGeom prst="rect">
                            <a:avLst/>
                          </a:prstGeom>
                          <a:noFill/>
                          <a:ln>
                            <a:noFill/>
                          </a:ln>
                        </pic:spPr>
                      </pic:pic>
                    </a:graphicData>
                  </a:graphic>
                </wp:inline>
              </w:drawing>
            </w:r>
          </w:p>
        </w:tc>
      </w:tr>
    </w:tbl>
    <w:p>
      <w:pPr>
        <w:jc w:val="center"/>
        <w:rPr>
          <w:rFonts w:eastAsia="仿宋"/>
          <w:b/>
          <w:bCs/>
          <w:color w:val="auto"/>
          <w:highlight w:val="none"/>
        </w:rPr>
      </w:pPr>
      <w:r>
        <w:rPr>
          <w:rFonts w:eastAsia="仿宋"/>
          <w:b/>
          <w:bCs/>
          <w:color w:val="auto"/>
          <w:highlight w:val="none"/>
        </w:rPr>
        <w:t>图2</w:t>
      </w:r>
      <w:r>
        <w:rPr>
          <w:rFonts w:hint="eastAsia" w:ascii="仿宋" w:hAnsi="仿宋" w:eastAsia="仿宋" w:cs="仿宋"/>
          <w:b/>
          <w:bCs/>
          <w:color w:val="auto"/>
          <w:highlight w:val="none"/>
        </w:rPr>
        <w:t>.</w:t>
      </w:r>
      <w:r>
        <w:rPr>
          <w:rFonts w:eastAsia="仿宋"/>
          <w:b/>
          <w:bCs/>
          <w:color w:val="auto"/>
          <w:highlight w:val="none"/>
        </w:rPr>
        <w:t>0</w:t>
      </w:r>
      <w:r>
        <w:rPr>
          <w:rFonts w:hint="eastAsia" w:ascii="仿宋" w:hAnsi="仿宋" w:eastAsia="仿宋" w:cs="仿宋"/>
          <w:b/>
          <w:bCs/>
          <w:color w:val="auto"/>
          <w:highlight w:val="none"/>
        </w:rPr>
        <w:t>.</w:t>
      </w:r>
      <w:r>
        <w:rPr>
          <w:rFonts w:eastAsia="仿宋"/>
          <w:b/>
          <w:bCs/>
          <w:color w:val="auto"/>
          <w:highlight w:val="none"/>
        </w:rPr>
        <w:t>13  箱模式模块单元</w:t>
      </w:r>
    </w:p>
    <w:p>
      <w:pPr>
        <w:jc w:val="center"/>
        <w:rPr>
          <w:rFonts w:eastAsia="仿宋"/>
          <w:color w:val="auto"/>
          <w:sz w:val="18"/>
          <w:szCs w:val="20"/>
          <w:highlight w:val="none"/>
        </w:rPr>
      </w:pPr>
      <w:r>
        <w:rPr>
          <w:rFonts w:eastAsia="仿宋"/>
          <w:color w:val="auto"/>
          <w:sz w:val="18"/>
          <w:szCs w:val="20"/>
          <w:highlight w:val="none"/>
        </w:rPr>
        <w:t>1—隔墙；2—顶板（叠合板）；3—隔墙开洞；4—梁模；5—柱模；6—墙模</w:t>
      </w:r>
    </w:p>
    <w:p>
      <w:pPr>
        <w:numPr>
          <w:ilvl w:val="0"/>
          <w:numId w:val="2"/>
        </w:numPr>
        <w:rPr>
          <w:color w:val="auto"/>
          <w:highlight w:val="none"/>
        </w:rPr>
      </w:pPr>
      <w:r>
        <w:rPr>
          <w:rFonts w:hint="eastAsia"/>
          <w:color w:val="auto"/>
          <w:highlight w:val="none"/>
        </w:rPr>
        <w:t>模块化框架结构  modular frame structure</w:t>
      </w:r>
    </w:p>
    <w:p>
      <w:pPr>
        <w:ind w:firstLine="440" w:firstLineChars="200"/>
        <w:rPr>
          <w:color w:val="auto"/>
          <w:highlight w:val="none"/>
        </w:rPr>
      </w:pPr>
      <w:r>
        <w:rPr>
          <w:color w:val="auto"/>
          <w:highlight w:val="none"/>
        </w:rPr>
        <w:t>由框架式模块</w:t>
      </w:r>
      <w:r>
        <w:rPr>
          <w:rFonts w:hint="eastAsia"/>
          <w:color w:val="auto"/>
          <w:highlight w:val="none"/>
        </w:rPr>
        <w:t>单元</w:t>
      </w:r>
      <w:r>
        <w:rPr>
          <w:color w:val="auto"/>
          <w:highlight w:val="none"/>
        </w:rPr>
        <w:t>在施工现场采用</w:t>
      </w:r>
      <w:r>
        <w:rPr>
          <w:rFonts w:hint="eastAsia"/>
          <w:color w:val="auto"/>
          <w:highlight w:val="none"/>
        </w:rPr>
        <w:t>可靠的方式</w:t>
      </w:r>
      <w:r>
        <w:rPr>
          <w:color w:val="auto"/>
          <w:highlight w:val="none"/>
        </w:rPr>
        <w:t>连接拼装形成的</w:t>
      </w:r>
      <w:r>
        <w:rPr>
          <w:rFonts w:hint="eastAsia"/>
          <w:color w:val="auto"/>
          <w:highlight w:val="none"/>
        </w:rPr>
        <w:t>混凝土</w:t>
      </w:r>
      <w:r>
        <w:rPr>
          <w:color w:val="auto"/>
          <w:highlight w:val="none"/>
        </w:rPr>
        <w:t>模块化结构。</w:t>
      </w:r>
    </w:p>
    <w:p>
      <w:pPr>
        <w:numPr>
          <w:ilvl w:val="0"/>
          <w:numId w:val="2"/>
        </w:numPr>
        <w:rPr>
          <w:color w:val="auto"/>
          <w:highlight w:val="none"/>
        </w:rPr>
      </w:pPr>
      <w:r>
        <w:rPr>
          <w:rFonts w:hint="eastAsia"/>
          <w:color w:val="auto"/>
          <w:highlight w:val="none"/>
        </w:rPr>
        <w:t>模块化剪力墙结构  modular shearwall structure</w:t>
      </w:r>
    </w:p>
    <w:p>
      <w:pPr>
        <w:ind w:firstLine="440" w:firstLineChars="200"/>
        <w:rPr>
          <w:color w:val="auto"/>
          <w:highlight w:val="none"/>
        </w:rPr>
      </w:pPr>
      <w:r>
        <w:rPr>
          <w:rFonts w:hint="eastAsia"/>
          <w:color w:val="auto"/>
          <w:highlight w:val="none"/>
        </w:rPr>
        <w:t>由全预制剪力墙式模块单元或叠合剪力墙式模块单元现场拼装形成的混凝土模块化结构，包括模块化全预制剪力墙结构和模块化叠合剪力墙结构。</w:t>
      </w:r>
    </w:p>
    <w:p>
      <w:pPr>
        <w:numPr>
          <w:ilvl w:val="0"/>
          <w:numId w:val="2"/>
        </w:numPr>
        <w:rPr>
          <w:color w:val="auto"/>
          <w:highlight w:val="none"/>
        </w:rPr>
      </w:pPr>
      <w:r>
        <w:rPr>
          <w:rFonts w:hint="eastAsia"/>
          <w:color w:val="auto"/>
          <w:highlight w:val="none"/>
        </w:rPr>
        <w:t>模块化全预制剪力墙结构  modular precast concrete shearwall structure</w:t>
      </w:r>
    </w:p>
    <w:p>
      <w:pPr>
        <w:ind w:firstLine="440" w:firstLineChars="200"/>
        <w:rPr>
          <w:color w:val="auto"/>
          <w:highlight w:val="none"/>
        </w:rPr>
      </w:pPr>
      <w:r>
        <w:rPr>
          <w:rFonts w:hint="eastAsia"/>
          <w:color w:val="auto"/>
          <w:highlight w:val="none"/>
        </w:rPr>
        <w:t>由全预制剪力墙式</w:t>
      </w:r>
      <w:r>
        <w:rPr>
          <w:color w:val="auto"/>
          <w:highlight w:val="none"/>
        </w:rPr>
        <w:t>模块</w:t>
      </w:r>
      <w:r>
        <w:rPr>
          <w:rFonts w:hint="eastAsia"/>
          <w:color w:val="auto"/>
          <w:highlight w:val="none"/>
        </w:rPr>
        <w:t>单元现场拼装，并利用模壳板作为部分剪力墙、梁现场浇筑的模板，顶板作为叠合楼板的底板，现场浇筑混凝土形成的剪力墙结构</w:t>
      </w:r>
      <w:r>
        <w:rPr>
          <w:color w:val="auto"/>
          <w:highlight w:val="none"/>
        </w:rPr>
        <w:t>。</w:t>
      </w:r>
    </w:p>
    <w:p>
      <w:pPr>
        <w:numPr>
          <w:ilvl w:val="0"/>
          <w:numId w:val="2"/>
        </w:numPr>
        <w:rPr>
          <w:color w:val="auto"/>
          <w:highlight w:val="none"/>
        </w:rPr>
      </w:pPr>
      <w:r>
        <w:rPr>
          <w:rFonts w:hint="eastAsia"/>
          <w:color w:val="auto"/>
          <w:highlight w:val="none"/>
        </w:rPr>
        <w:t>模块化叠合剪力墙结构  modular superimposed concrete shearwall structure</w:t>
      </w:r>
    </w:p>
    <w:p>
      <w:pPr>
        <w:ind w:firstLine="440" w:firstLineChars="200"/>
        <w:rPr>
          <w:color w:val="auto"/>
          <w:highlight w:val="none"/>
        </w:rPr>
      </w:pPr>
      <w:r>
        <w:rPr>
          <w:rFonts w:hint="eastAsia"/>
          <w:color w:val="auto"/>
          <w:highlight w:val="none"/>
        </w:rPr>
        <w:t>由叠合剪力墙式</w:t>
      </w:r>
      <w:r>
        <w:rPr>
          <w:color w:val="auto"/>
          <w:highlight w:val="none"/>
        </w:rPr>
        <w:t>模块</w:t>
      </w:r>
      <w:r>
        <w:rPr>
          <w:rFonts w:hint="eastAsia"/>
          <w:color w:val="auto"/>
          <w:highlight w:val="none"/>
        </w:rPr>
        <w:t>单元现场拼装，并</w:t>
      </w:r>
      <w:r>
        <w:rPr>
          <w:color w:val="auto"/>
          <w:highlight w:val="none"/>
        </w:rPr>
        <w:t>利用</w:t>
      </w:r>
      <w:r>
        <w:rPr>
          <w:rFonts w:hint="eastAsia"/>
          <w:color w:val="auto"/>
          <w:highlight w:val="none"/>
        </w:rPr>
        <w:t>叠合剪力墙板和模壳板</w:t>
      </w:r>
      <w:r>
        <w:rPr>
          <w:color w:val="auto"/>
          <w:highlight w:val="none"/>
        </w:rPr>
        <w:t>作为</w:t>
      </w:r>
      <w:r>
        <w:rPr>
          <w:rFonts w:hint="eastAsia"/>
          <w:color w:val="auto"/>
          <w:highlight w:val="none"/>
        </w:rPr>
        <w:t>剪力墙、</w:t>
      </w:r>
      <w:r>
        <w:rPr>
          <w:color w:val="auto"/>
          <w:highlight w:val="none"/>
        </w:rPr>
        <w:t>梁</w:t>
      </w:r>
      <w:r>
        <w:rPr>
          <w:rFonts w:hint="eastAsia"/>
          <w:color w:val="auto"/>
          <w:highlight w:val="none"/>
        </w:rPr>
        <w:t>现场浇筑部分的</w:t>
      </w:r>
      <w:r>
        <w:rPr>
          <w:color w:val="auto"/>
          <w:highlight w:val="none"/>
        </w:rPr>
        <w:t>模板，顶板作为叠合楼板的底板，现场浇筑</w:t>
      </w:r>
      <w:r>
        <w:rPr>
          <w:rFonts w:hint="eastAsia"/>
          <w:color w:val="auto"/>
          <w:highlight w:val="none"/>
        </w:rPr>
        <w:t>混凝土</w:t>
      </w:r>
      <w:r>
        <w:rPr>
          <w:color w:val="auto"/>
          <w:highlight w:val="none"/>
        </w:rPr>
        <w:t>形成的</w:t>
      </w:r>
      <w:r>
        <w:rPr>
          <w:rFonts w:hint="eastAsia"/>
          <w:color w:val="auto"/>
          <w:highlight w:val="none"/>
        </w:rPr>
        <w:t>剪力墙</w:t>
      </w:r>
      <w:r>
        <w:rPr>
          <w:color w:val="auto"/>
          <w:highlight w:val="none"/>
        </w:rPr>
        <w:t>结构。</w:t>
      </w:r>
    </w:p>
    <w:p>
      <w:pPr>
        <w:numPr>
          <w:ilvl w:val="0"/>
          <w:numId w:val="2"/>
        </w:numPr>
        <w:rPr>
          <w:color w:val="auto"/>
          <w:highlight w:val="none"/>
        </w:rPr>
      </w:pPr>
      <w:r>
        <w:rPr>
          <w:rFonts w:hint="eastAsia"/>
          <w:color w:val="auto"/>
          <w:highlight w:val="none"/>
        </w:rPr>
        <w:t>模块化箱模结构  modular box mold structure</w:t>
      </w:r>
    </w:p>
    <w:p>
      <w:pPr>
        <w:ind w:firstLine="440" w:firstLineChars="200"/>
        <w:rPr>
          <w:color w:val="auto"/>
          <w:highlight w:val="none"/>
        </w:rPr>
      </w:pPr>
      <w:r>
        <w:rPr>
          <w:rFonts w:hint="eastAsia"/>
          <w:color w:val="auto"/>
          <w:highlight w:val="none"/>
        </w:rPr>
        <w:t>由</w:t>
      </w:r>
      <w:r>
        <w:rPr>
          <w:color w:val="auto"/>
          <w:highlight w:val="none"/>
        </w:rPr>
        <w:t>箱模式模块</w:t>
      </w:r>
      <w:r>
        <w:rPr>
          <w:rFonts w:hint="eastAsia"/>
          <w:color w:val="auto"/>
          <w:highlight w:val="none"/>
        </w:rPr>
        <w:t>单元现场拼装，并</w:t>
      </w:r>
      <w:r>
        <w:rPr>
          <w:color w:val="auto"/>
          <w:highlight w:val="none"/>
        </w:rPr>
        <w:t>利用</w:t>
      </w:r>
      <w:r>
        <w:rPr>
          <w:rFonts w:hint="eastAsia"/>
          <w:color w:val="auto"/>
          <w:highlight w:val="none"/>
        </w:rPr>
        <w:t>模壳板</w:t>
      </w:r>
      <w:r>
        <w:rPr>
          <w:color w:val="auto"/>
          <w:highlight w:val="none"/>
        </w:rPr>
        <w:t>作为现浇梁、柱</w:t>
      </w:r>
      <w:r>
        <w:rPr>
          <w:rFonts w:hint="eastAsia"/>
          <w:color w:val="auto"/>
          <w:highlight w:val="none"/>
        </w:rPr>
        <w:t>或剪力墙</w:t>
      </w:r>
      <w:r>
        <w:rPr>
          <w:color w:val="auto"/>
          <w:highlight w:val="none"/>
        </w:rPr>
        <w:t>的模板，顶板作为叠合楼板的底板，现场浇筑</w:t>
      </w:r>
      <w:r>
        <w:rPr>
          <w:rFonts w:hint="eastAsia"/>
          <w:color w:val="auto"/>
          <w:highlight w:val="none"/>
        </w:rPr>
        <w:t>混凝土</w:t>
      </w:r>
      <w:r>
        <w:rPr>
          <w:color w:val="auto"/>
          <w:highlight w:val="none"/>
        </w:rPr>
        <w:t>形成的框架</w:t>
      </w:r>
      <w:r>
        <w:rPr>
          <w:rFonts w:hint="eastAsia"/>
          <w:color w:val="auto"/>
          <w:highlight w:val="none"/>
        </w:rPr>
        <w:t>、框架-剪力墙及剪力墙</w:t>
      </w:r>
      <w:r>
        <w:rPr>
          <w:color w:val="auto"/>
          <w:highlight w:val="none"/>
        </w:rPr>
        <w:t>结构</w:t>
      </w:r>
      <w:r>
        <w:rPr>
          <w:rFonts w:hint="eastAsia"/>
          <w:color w:val="auto"/>
          <w:highlight w:val="none"/>
        </w:rPr>
        <w:t>，分别简称为箱模</w:t>
      </w:r>
      <w:r>
        <w:rPr>
          <w:color w:val="auto"/>
          <w:highlight w:val="none"/>
        </w:rPr>
        <w:t>框架</w:t>
      </w:r>
      <w:r>
        <w:rPr>
          <w:rFonts w:hint="eastAsia"/>
          <w:color w:val="auto"/>
          <w:highlight w:val="none"/>
        </w:rPr>
        <w:t>结构、箱模框架-剪力墙结构及箱模剪力墙</w:t>
      </w:r>
      <w:r>
        <w:rPr>
          <w:color w:val="auto"/>
          <w:highlight w:val="none"/>
        </w:rPr>
        <w:t>结构</w:t>
      </w:r>
      <w:r>
        <w:rPr>
          <w:rFonts w:hint="eastAsia"/>
          <w:color w:val="auto"/>
          <w:highlight w:val="none"/>
        </w:rPr>
        <w:t>。</w:t>
      </w:r>
    </w:p>
    <w:p>
      <w:pPr>
        <w:numPr>
          <w:ilvl w:val="0"/>
          <w:numId w:val="2"/>
        </w:numPr>
        <w:rPr>
          <w:color w:val="auto"/>
          <w:highlight w:val="none"/>
        </w:rPr>
      </w:pPr>
      <w:r>
        <w:rPr>
          <w:rFonts w:hint="eastAsia"/>
          <w:color w:val="auto"/>
          <w:highlight w:val="none"/>
        </w:rPr>
        <w:t>模壳板  formwork panel</w:t>
      </w:r>
    </w:p>
    <w:p>
      <w:pPr>
        <w:ind w:firstLine="440" w:firstLineChars="200"/>
        <w:rPr>
          <w:color w:val="auto"/>
          <w:highlight w:val="none"/>
        </w:rPr>
      </w:pPr>
      <w:r>
        <w:rPr>
          <w:rFonts w:hint="eastAsia"/>
          <w:color w:val="auto"/>
          <w:highlight w:val="none"/>
        </w:rPr>
        <w:t>在工厂与模块一同预制，作为现场浇筑的混凝土免拆模板，包括墙模、柱模、梁模。</w:t>
      </w:r>
    </w:p>
    <w:p>
      <w:pPr>
        <w:numPr>
          <w:ilvl w:val="0"/>
          <w:numId w:val="2"/>
        </w:numPr>
        <w:rPr>
          <w:color w:val="auto"/>
          <w:highlight w:val="none"/>
        </w:rPr>
      </w:pPr>
      <w:r>
        <w:rPr>
          <w:rFonts w:hint="eastAsia"/>
          <w:color w:val="auto"/>
          <w:highlight w:val="none"/>
        </w:rPr>
        <w:t>墙模  wall formwork</w:t>
      </w:r>
    </w:p>
    <w:p>
      <w:pPr>
        <w:ind w:firstLine="440" w:firstLineChars="200"/>
        <w:rPr>
          <w:color w:val="auto"/>
          <w:highlight w:val="none"/>
        </w:rPr>
      </w:pPr>
      <w:r>
        <w:rPr>
          <w:rFonts w:hint="eastAsia"/>
          <w:color w:val="auto"/>
          <w:highlight w:val="none"/>
        </w:rPr>
        <w:t>用于形成模块单元兼作现浇剪力墙浇筑时模板使用的模壳板</w:t>
      </w:r>
      <w:r>
        <w:rPr>
          <w:color w:val="auto"/>
          <w:highlight w:val="none"/>
        </w:rPr>
        <w:t>。</w:t>
      </w:r>
    </w:p>
    <w:p>
      <w:pPr>
        <w:numPr>
          <w:ilvl w:val="0"/>
          <w:numId w:val="2"/>
        </w:numPr>
        <w:rPr>
          <w:color w:val="auto"/>
          <w:highlight w:val="none"/>
        </w:rPr>
      </w:pPr>
      <w:r>
        <w:rPr>
          <w:rFonts w:hint="eastAsia"/>
          <w:color w:val="auto"/>
          <w:highlight w:val="none"/>
        </w:rPr>
        <w:t>柱模  column formwork</w:t>
      </w:r>
    </w:p>
    <w:p>
      <w:pPr>
        <w:ind w:firstLine="440" w:firstLineChars="200"/>
        <w:rPr>
          <w:color w:val="auto"/>
          <w:highlight w:val="none"/>
        </w:rPr>
      </w:pPr>
      <w:r>
        <w:rPr>
          <w:rFonts w:hint="eastAsia"/>
          <w:color w:val="auto"/>
          <w:highlight w:val="none"/>
        </w:rPr>
        <w:t>用于形成模块单元兼作现浇结构柱浇筑时模板使用的模壳板。</w:t>
      </w:r>
    </w:p>
    <w:p>
      <w:pPr>
        <w:numPr>
          <w:ilvl w:val="0"/>
          <w:numId w:val="2"/>
        </w:numPr>
        <w:rPr>
          <w:color w:val="auto"/>
          <w:highlight w:val="none"/>
        </w:rPr>
      </w:pPr>
      <w:r>
        <w:rPr>
          <w:rFonts w:hint="eastAsia"/>
          <w:color w:val="auto"/>
          <w:highlight w:val="none"/>
        </w:rPr>
        <w:t>梁模  beam formwork</w:t>
      </w:r>
    </w:p>
    <w:p>
      <w:pPr>
        <w:ind w:firstLine="440" w:firstLineChars="200"/>
        <w:rPr>
          <w:color w:val="auto"/>
          <w:highlight w:val="none"/>
        </w:rPr>
      </w:pPr>
      <w:r>
        <w:rPr>
          <w:rFonts w:hint="eastAsia"/>
          <w:color w:val="auto"/>
          <w:highlight w:val="none"/>
        </w:rPr>
        <w:t>用于形成模块单元兼作现浇结构梁浇筑时模板使用的模壳板。</w:t>
      </w:r>
    </w:p>
    <w:p>
      <w:pPr>
        <w:widowControl/>
        <w:jc w:val="left"/>
        <w:rPr>
          <w:color w:val="auto"/>
          <w:highlight w:val="none"/>
        </w:rPr>
        <w:sectPr>
          <w:pgSz w:w="11906" w:h="16838"/>
          <w:pgMar w:top="1610" w:right="1349" w:bottom="1213" w:left="1293" w:header="851" w:footer="992" w:gutter="0"/>
          <w:cols w:space="720" w:num="1"/>
          <w:docGrid w:type="linesAndChars" w:linePitch="333" w:charSpace="2165"/>
        </w:sectPr>
      </w:pPr>
    </w:p>
    <w:p>
      <w:pPr>
        <w:pStyle w:val="2"/>
        <w:ind w:left="190"/>
        <w:rPr>
          <w:rStyle w:val="30"/>
          <w:b/>
          <w:bCs w:val="0"/>
          <w:color w:val="auto"/>
          <w:kern w:val="2"/>
          <w:highlight w:val="none"/>
        </w:rPr>
      </w:pPr>
      <w:bookmarkStart w:id="85" w:name="_Toc110958467"/>
      <w:bookmarkStart w:id="86" w:name="_Toc93998964"/>
      <w:bookmarkStart w:id="87" w:name="_Toc93999725"/>
      <w:bookmarkStart w:id="88" w:name="_Toc110952699"/>
      <w:bookmarkStart w:id="89" w:name="_Toc30461"/>
      <w:bookmarkStart w:id="90" w:name="_Toc10900"/>
      <w:bookmarkStart w:id="91" w:name="_Toc29371"/>
      <w:bookmarkStart w:id="92" w:name="_Toc12597"/>
      <w:bookmarkStart w:id="93" w:name="_Toc17817"/>
      <w:bookmarkStart w:id="94" w:name="_Toc29458"/>
      <w:bookmarkStart w:id="95" w:name="_Toc6922"/>
      <w:bookmarkStart w:id="96" w:name="_Toc2702"/>
      <w:bookmarkStart w:id="97" w:name="_Toc9602"/>
      <w:bookmarkStart w:id="98" w:name="_Toc10493"/>
      <w:bookmarkStart w:id="99" w:name="_Toc16166"/>
      <w:bookmarkStart w:id="100" w:name="_Toc20922"/>
      <w:bookmarkStart w:id="101" w:name="_Toc15355"/>
      <w:bookmarkStart w:id="102" w:name="_Toc23944"/>
      <w:bookmarkStart w:id="103" w:name="_Toc16574"/>
      <w:bookmarkStart w:id="104" w:name="_Toc28336"/>
      <w:bookmarkStart w:id="105" w:name="_Toc4600"/>
      <w:bookmarkStart w:id="106" w:name="_Toc18871"/>
      <w:bookmarkStart w:id="107" w:name="_Toc20592"/>
      <w:bookmarkStart w:id="108" w:name="_Toc11122"/>
      <w:bookmarkStart w:id="109" w:name="_Toc6071"/>
      <w:bookmarkStart w:id="110" w:name="_Toc9835"/>
      <w:bookmarkStart w:id="111" w:name="_Toc1624"/>
      <w:bookmarkStart w:id="112" w:name="_Toc18858"/>
      <w:bookmarkStart w:id="113" w:name="_Toc229"/>
      <w:bookmarkStart w:id="114" w:name="_Toc32467"/>
      <w:bookmarkStart w:id="115" w:name="_Toc1248"/>
      <w:bookmarkStart w:id="116" w:name="_Toc25136"/>
      <w:bookmarkStart w:id="117" w:name="_Toc22274"/>
      <w:bookmarkStart w:id="118" w:name="_Toc7210"/>
      <w:bookmarkStart w:id="119" w:name="_Toc12683"/>
      <w:bookmarkStart w:id="120" w:name="_Toc5348"/>
      <w:bookmarkStart w:id="121" w:name="_Toc22235"/>
      <w:r>
        <w:rPr>
          <w:b/>
          <w:bCs w:val="0"/>
          <w:color w:val="auto"/>
          <w:highlight w:val="none"/>
        </w:rPr>
        <w:t>3</w:t>
      </w:r>
      <w:r>
        <w:rPr>
          <w:rFonts w:hint="eastAsia"/>
          <w:b/>
          <w:bCs w:val="0"/>
          <w:color w:val="auto"/>
          <w:highlight w:val="none"/>
        </w:rPr>
        <w:t xml:space="preserve">  项目策</w:t>
      </w:r>
      <w:bookmarkEnd w:id="85"/>
      <w:bookmarkEnd w:id="86"/>
      <w:bookmarkEnd w:id="87"/>
      <w:bookmarkEnd w:id="88"/>
      <w:r>
        <w:rPr>
          <w:rFonts w:hint="eastAsia"/>
          <w:b/>
          <w:bCs w:val="0"/>
          <w:color w:val="auto"/>
          <w:highlight w:val="none"/>
        </w:rPr>
        <w:t>划</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pPr>
        <w:pStyle w:val="4"/>
        <w:ind w:left="190"/>
        <w:rPr>
          <w:color w:val="auto"/>
          <w:highlight w:val="none"/>
        </w:rPr>
      </w:pPr>
      <w:bookmarkStart w:id="122" w:name="_Toc18272"/>
      <w:bookmarkStart w:id="123" w:name="_Toc6347"/>
      <w:bookmarkStart w:id="124" w:name="_Toc3572"/>
      <w:bookmarkStart w:id="125" w:name="_Toc19953"/>
      <w:bookmarkStart w:id="126" w:name="_Toc2345"/>
      <w:bookmarkStart w:id="127" w:name="_Toc17956"/>
      <w:bookmarkStart w:id="128" w:name="_Toc21617"/>
      <w:bookmarkStart w:id="129" w:name="_Toc20698"/>
      <w:bookmarkStart w:id="130" w:name="_Toc2319"/>
      <w:bookmarkStart w:id="131" w:name="_Toc25648"/>
      <w:bookmarkStart w:id="132" w:name="_Toc29653"/>
      <w:bookmarkStart w:id="133" w:name="_Toc11283"/>
      <w:bookmarkStart w:id="134" w:name="_Toc30747"/>
      <w:bookmarkStart w:id="135" w:name="_Toc1596"/>
      <w:bookmarkStart w:id="136" w:name="_Toc25561"/>
      <w:bookmarkStart w:id="137" w:name="_Toc2088"/>
      <w:bookmarkStart w:id="138" w:name="_Toc22180"/>
      <w:r>
        <w:rPr>
          <w:rFonts w:hint="eastAsia" w:eastAsia="宋体"/>
          <w:b/>
          <w:bCs w:val="0"/>
          <w:color w:val="auto"/>
          <w:highlight w:val="none"/>
        </w:rPr>
        <w:t>3</w:t>
      </w:r>
      <w:r>
        <w:rPr>
          <w:rFonts w:hint="eastAsia" w:ascii="宋体" w:hAnsi="宋体" w:eastAsia="宋体"/>
          <w:color w:val="auto"/>
          <w:szCs w:val="21"/>
          <w:highlight w:val="none"/>
        </w:rPr>
        <w:t>.</w:t>
      </w:r>
      <w:r>
        <w:rPr>
          <w:b/>
          <w:bCs w:val="0"/>
          <w:color w:val="auto"/>
          <w:highlight w:val="none"/>
        </w:rPr>
        <w:t>1</w:t>
      </w:r>
      <w:r>
        <w:rPr>
          <w:rFonts w:hint="eastAsia"/>
          <w:color w:val="auto"/>
          <w:highlight w:val="none"/>
        </w:rPr>
        <w:t xml:space="preserve">  一般规定</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pPr>
        <w:numPr>
          <w:ilvl w:val="0"/>
          <w:numId w:val="3"/>
        </w:numPr>
        <w:rPr>
          <w:color w:val="auto"/>
          <w:highlight w:val="none"/>
        </w:rPr>
      </w:pPr>
      <w:r>
        <w:rPr>
          <w:rFonts w:hint="eastAsia"/>
          <w:color w:val="auto"/>
          <w:highlight w:val="none"/>
        </w:rPr>
        <w:t>建设单位应在建筑规划审批前开展模块化建筑的专项技术策划，对项目定位、技术路线、成本控制、建设周期和资源配置等因素进行综合评估，明确模块化建筑的可行性与实施策略。</w:t>
      </w:r>
    </w:p>
    <w:p>
      <w:pPr>
        <w:numPr>
          <w:ilvl w:val="0"/>
          <w:numId w:val="3"/>
        </w:numPr>
        <w:rPr>
          <w:color w:val="auto"/>
          <w:highlight w:val="none"/>
        </w:rPr>
      </w:pPr>
      <w:r>
        <w:rPr>
          <w:rFonts w:hint="eastAsia"/>
          <w:color w:val="auto"/>
          <w:highlight w:val="none"/>
        </w:rPr>
        <w:t>建设单位应协调优化设计、制造、运输、施工和运维等各类资源，对项目所在区域的模块单元制造能力、施工装配能力及现场运输、吊装条件等进行初步技术评估，以确保资源配置与项目需求的匹配性。</w:t>
      </w:r>
    </w:p>
    <w:p>
      <w:pPr>
        <w:numPr>
          <w:ilvl w:val="0"/>
          <w:numId w:val="3"/>
        </w:numPr>
        <w:rPr>
          <w:color w:val="auto"/>
          <w:highlight w:val="none"/>
        </w:rPr>
      </w:pPr>
      <w:r>
        <w:rPr>
          <w:rFonts w:hint="eastAsia"/>
          <w:color w:val="auto"/>
          <w:highlight w:val="none"/>
        </w:rPr>
        <w:t>模块化建筑项目应统筹规划设计、部件生产、模块单元制造、施工安装和运营维护的全流程，按照安全保障、质量提升、效率优化的原则，确定科学合理的技术实施方案和经济高效的建设标准。</w:t>
      </w:r>
    </w:p>
    <w:p>
      <w:pPr>
        <w:numPr>
          <w:ilvl w:val="0"/>
          <w:numId w:val="3"/>
        </w:numPr>
        <w:rPr>
          <w:color w:val="auto"/>
          <w:highlight w:val="none"/>
        </w:rPr>
      </w:pPr>
      <w:r>
        <w:rPr>
          <w:rFonts w:hint="eastAsia"/>
          <w:color w:val="auto"/>
          <w:highlight w:val="none"/>
        </w:rPr>
        <w:t>模块化建筑应考虑设计、施工一体化协同，宜采用工程总承包或联合体承包，通过全过程的技术策划实现各环节的全面整合与高效协同。总承包及分包单位须满足国家和地方的建筑行业资质管理的相关规定。</w:t>
      </w:r>
    </w:p>
    <w:p>
      <w:pPr>
        <w:numPr>
          <w:ilvl w:val="0"/>
          <w:numId w:val="3"/>
        </w:numPr>
        <w:rPr>
          <w:color w:val="auto"/>
          <w:highlight w:val="none"/>
        </w:rPr>
      </w:pPr>
      <w:r>
        <w:rPr>
          <w:rFonts w:hint="eastAsia"/>
          <w:color w:val="auto"/>
          <w:highlight w:val="none"/>
        </w:rPr>
        <w:t>建设单位作为工程建设活动的总牵头单位，对建设工程质量负有首要责任，应当依法对工程质量承担全面责任。建设单位应当按照国家和本市有关规定以及合同约定，督促建设工程各参与单位落实工程质量管理责任，负责建设工程各阶段质量工作的协调管理，建立健全混凝土模块化建筑质量追溯管理体系。</w:t>
      </w:r>
    </w:p>
    <w:p>
      <w:pPr>
        <w:numPr>
          <w:ilvl w:val="0"/>
          <w:numId w:val="3"/>
        </w:numPr>
        <w:rPr>
          <w:color w:val="auto"/>
          <w:highlight w:val="none"/>
        </w:rPr>
      </w:pPr>
      <w:r>
        <w:rPr>
          <w:rFonts w:hint="eastAsia"/>
          <w:bCs/>
          <w:color w:val="auto"/>
          <w:highlight w:val="none"/>
        </w:rPr>
        <w:t>建设单位应依法委托具备相应资质的工程监理单位，安排监理人员对模块制造过程实施驻厂（场）监造。工程监理单位宜运用信息化手段，对模块制造单位的生产全过程进行全面检查与监督，并形成详实的工作记录，确保记录长期保存且具备可追溯性。</w:t>
      </w:r>
    </w:p>
    <w:p>
      <w:pPr>
        <w:numPr>
          <w:ilvl w:val="0"/>
          <w:numId w:val="3"/>
        </w:numPr>
        <w:rPr>
          <w:bCs/>
          <w:color w:val="auto"/>
          <w:highlight w:val="none"/>
        </w:rPr>
      </w:pPr>
      <w:r>
        <w:rPr>
          <w:rFonts w:hint="eastAsia"/>
          <w:bCs/>
          <w:color w:val="auto"/>
          <w:highlight w:val="none"/>
        </w:rPr>
        <w:t>建设单位应当组织设计、施工、监理、预制构件制造单位进行设计交底、首件制造验收和首段安装验收，具体验收应符合《上海市装配式混凝土建筑工程质量管理规定》（沪住建规范14号）的相关规定。</w:t>
      </w:r>
    </w:p>
    <w:p>
      <w:pPr>
        <w:numPr>
          <w:ilvl w:val="0"/>
          <w:numId w:val="3"/>
        </w:numPr>
        <w:rPr>
          <w:bCs/>
          <w:color w:val="auto"/>
          <w:highlight w:val="none"/>
        </w:rPr>
      </w:pPr>
      <w:r>
        <w:rPr>
          <w:bCs/>
          <w:color w:val="auto"/>
          <w:highlight w:val="none"/>
        </w:rPr>
        <w:t>模块制造单位应按照</w:t>
      </w:r>
      <w:r>
        <w:rPr>
          <w:rFonts w:hint="eastAsia"/>
          <w:bCs/>
          <w:color w:val="auto"/>
          <w:highlight w:val="none"/>
        </w:rPr>
        <w:t>本市建设工程材料使用管理要求，对出厂（场）的模块单元质量负责。混凝土</w:t>
      </w:r>
      <w:r>
        <w:rPr>
          <w:bCs/>
          <w:color w:val="auto"/>
          <w:highlight w:val="none"/>
        </w:rPr>
        <w:t>模块单元可</w:t>
      </w:r>
      <w:r>
        <w:rPr>
          <w:rFonts w:hint="eastAsia"/>
          <w:bCs/>
          <w:color w:val="auto"/>
          <w:highlight w:val="none"/>
        </w:rPr>
        <w:t>按照</w:t>
      </w:r>
      <w:r>
        <w:rPr>
          <w:bCs/>
          <w:color w:val="auto"/>
          <w:highlight w:val="none"/>
        </w:rPr>
        <w:t>预制构件的</w:t>
      </w:r>
      <w:r>
        <w:rPr>
          <w:rFonts w:hint="eastAsia"/>
          <w:bCs/>
          <w:color w:val="auto"/>
          <w:highlight w:val="none"/>
        </w:rPr>
        <w:t>管理要求，纳入建设工程材料质量安全追溯体系</w:t>
      </w:r>
      <w:r>
        <w:rPr>
          <w:bCs/>
          <w:color w:val="auto"/>
          <w:highlight w:val="none"/>
        </w:rPr>
        <w:t>。</w:t>
      </w:r>
    </w:p>
    <w:p>
      <w:pPr>
        <w:numPr>
          <w:ilvl w:val="0"/>
          <w:numId w:val="3"/>
        </w:numPr>
        <w:rPr>
          <w:color w:val="auto"/>
          <w:highlight w:val="none"/>
        </w:rPr>
      </w:pPr>
      <w:r>
        <w:rPr>
          <w:rFonts w:hint="eastAsia"/>
          <w:color w:val="auto"/>
          <w:highlight w:val="none"/>
        </w:rPr>
        <w:t>对于混凝土模块化建筑制造过程中涉及的重要建材，应按照相关验收规范的要求进行见证取样和复试。复试工作应符合《建设工程质量检测管理办法》（住房和城乡建设部令第</w:t>
      </w:r>
      <w:r>
        <w:rPr>
          <w:color w:val="auto"/>
          <w:highlight w:val="none"/>
        </w:rPr>
        <w:t>57</w:t>
      </w:r>
      <w:r>
        <w:rPr>
          <w:rFonts w:hint="eastAsia"/>
          <w:color w:val="auto"/>
          <w:highlight w:val="none"/>
        </w:rPr>
        <w:t>号）及《上海市建设工程检测管理办法》（沪府令第</w:t>
      </w:r>
      <w:r>
        <w:rPr>
          <w:color w:val="auto"/>
          <w:highlight w:val="none"/>
        </w:rPr>
        <w:t>73</w:t>
      </w:r>
      <w:r>
        <w:rPr>
          <w:rFonts w:hint="eastAsia"/>
          <w:color w:val="auto"/>
          <w:highlight w:val="none"/>
        </w:rPr>
        <w:t>号）的相关规定，确保材料质量满足工程质量控制要求。</w:t>
      </w:r>
    </w:p>
    <w:p>
      <w:pPr>
        <w:numPr>
          <w:ilvl w:val="0"/>
          <w:numId w:val="3"/>
        </w:numPr>
        <w:rPr>
          <w:color w:val="auto"/>
          <w:highlight w:val="none"/>
        </w:rPr>
      </w:pPr>
      <w:r>
        <w:rPr>
          <w:rFonts w:hint="eastAsia"/>
          <w:color w:val="auto"/>
          <w:highlight w:val="none"/>
        </w:rPr>
        <w:t>在项目策划阶段应规划BIM技术的全流程应用，建立涵盖设计、制造、安装的BIM模型，在运维阶段宜应用BIM技术，确保信息的高效集成与共享，建立质量可追溯的质量管理系统，提升混凝土模块化建筑建造效率与质量。</w:t>
      </w:r>
    </w:p>
    <w:p>
      <w:pPr>
        <w:numPr>
          <w:ilvl w:val="0"/>
          <w:numId w:val="3"/>
        </w:numPr>
        <w:rPr>
          <w:color w:val="auto"/>
          <w:highlight w:val="none"/>
        </w:rPr>
      </w:pPr>
      <w:r>
        <w:rPr>
          <w:rFonts w:hint="eastAsia"/>
          <w:color w:val="auto"/>
          <w:highlight w:val="none"/>
        </w:rPr>
        <w:t>混凝土模块化建筑项目应制定相应的绿色建造与节能环保设计目标，如材料选用、能源消耗控制、废弃物管理等，以支持低碳发展和可持续建筑理念。</w:t>
      </w:r>
    </w:p>
    <w:p>
      <w:pPr>
        <w:pStyle w:val="4"/>
        <w:ind w:left="190"/>
        <w:rPr>
          <w:color w:val="auto"/>
          <w:highlight w:val="none"/>
        </w:rPr>
      </w:pPr>
      <w:bookmarkStart w:id="139" w:name="_Toc30171"/>
      <w:bookmarkStart w:id="140" w:name="_Toc17715"/>
      <w:bookmarkStart w:id="141" w:name="_Toc7287"/>
      <w:bookmarkStart w:id="142" w:name="_Toc14749"/>
      <w:bookmarkStart w:id="143" w:name="_Toc2217"/>
      <w:bookmarkStart w:id="144" w:name="_Toc14139"/>
      <w:bookmarkStart w:id="145" w:name="_Toc18391"/>
      <w:bookmarkStart w:id="146" w:name="_Toc8815"/>
      <w:bookmarkStart w:id="147" w:name="_Toc20068"/>
      <w:bookmarkStart w:id="148" w:name="_Toc7051"/>
      <w:bookmarkStart w:id="149" w:name="_Toc10583"/>
      <w:bookmarkStart w:id="150" w:name="_Toc12092"/>
      <w:bookmarkStart w:id="151" w:name="_Toc1492"/>
      <w:bookmarkStart w:id="152" w:name="_Toc29960"/>
      <w:bookmarkStart w:id="153" w:name="_Toc8027"/>
      <w:bookmarkStart w:id="154" w:name="_Toc19823"/>
      <w:bookmarkStart w:id="155" w:name="_Toc30729"/>
      <w:r>
        <w:rPr>
          <w:rFonts w:hint="eastAsia" w:eastAsia="宋体"/>
          <w:b/>
          <w:bCs w:val="0"/>
          <w:color w:val="auto"/>
          <w:highlight w:val="none"/>
        </w:rPr>
        <w:t>3</w:t>
      </w:r>
      <w:r>
        <w:rPr>
          <w:rFonts w:hint="eastAsia" w:ascii="宋体" w:hAnsi="宋体" w:eastAsia="宋体"/>
          <w:color w:val="auto"/>
          <w:szCs w:val="21"/>
          <w:highlight w:val="none"/>
        </w:rPr>
        <w:t>.</w:t>
      </w:r>
      <w:r>
        <w:rPr>
          <w:rFonts w:hint="eastAsia" w:eastAsia="宋体"/>
          <w:b/>
          <w:bCs w:val="0"/>
          <w:color w:val="auto"/>
          <w:highlight w:val="none"/>
        </w:rPr>
        <w:t>2</w:t>
      </w:r>
      <w:r>
        <w:rPr>
          <w:rFonts w:hint="eastAsia"/>
          <w:color w:val="auto"/>
          <w:highlight w:val="none"/>
        </w:rPr>
        <w:t xml:space="preserve">  设计策划</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pPr>
        <w:numPr>
          <w:ilvl w:val="0"/>
          <w:numId w:val="4"/>
        </w:numPr>
        <w:rPr>
          <w:color w:val="auto"/>
          <w:highlight w:val="none"/>
        </w:rPr>
      </w:pPr>
      <w:r>
        <w:rPr>
          <w:rFonts w:hint="eastAsia"/>
          <w:color w:val="auto"/>
          <w:highlight w:val="none"/>
        </w:rPr>
        <w:t>混凝土模块化建筑的技术选型应基于项目地理位置、用途、建筑高度、抗震等级、性能需求、建造周期和经济性、施工过程中的安全性，统筹规划建筑平面、结构、外围护、设备管线和内装系统的标准化设计。</w:t>
      </w:r>
    </w:p>
    <w:p>
      <w:pPr>
        <w:numPr>
          <w:ilvl w:val="0"/>
          <w:numId w:val="4"/>
        </w:numPr>
        <w:rPr>
          <w:color w:val="auto"/>
          <w:highlight w:val="none"/>
        </w:rPr>
      </w:pPr>
      <w:r>
        <w:rPr>
          <w:rFonts w:hint="eastAsia"/>
          <w:color w:val="auto"/>
          <w:highlight w:val="none"/>
        </w:rPr>
        <w:t>混凝土模块化建筑的设计应遵循功能实用性、设计集成性、组合多样性和施工便捷性原则，注重模块单元和建筑部品的模数化、标准化。</w:t>
      </w:r>
    </w:p>
    <w:p>
      <w:pPr>
        <w:numPr>
          <w:ilvl w:val="0"/>
          <w:numId w:val="4"/>
        </w:numPr>
        <w:rPr>
          <w:color w:val="auto"/>
          <w:highlight w:val="none"/>
        </w:rPr>
      </w:pPr>
      <w:r>
        <w:rPr>
          <w:rFonts w:hint="eastAsia"/>
          <w:color w:val="auto"/>
          <w:highlight w:val="none"/>
        </w:rPr>
        <w:t>混凝土模块化建筑的设计应强调各专业一体化协同设计，整合建筑、结构、给排水、暖通、电气等主体设计及装饰、幕墙、智能化、燃气、光伏等专项设计，确保项目设计的系统性和完整性。</w:t>
      </w:r>
    </w:p>
    <w:p>
      <w:pPr>
        <w:numPr>
          <w:ilvl w:val="0"/>
          <w:numId w:val="4"/>
        </w:numPr>
        <w:rPr>
          <w:color w:val="auto"/>
          <w:highlight w:val="none"/>
        </w:rPr>
      </w:pPr>
      <w:r>
        <w:rPr>
          <w:rFonts w:hint="eastAsia"/>
          <w:color w:val="auto"/>
          <w:highlight w:val="none"/>
        </w:rPr>
        <w:t>项目方案设计阶段，应考虑混凝土模块化项目的制造及施工方法，设计单位应考虑模块制造、运输及现场施工等技术细节，实现面向制造与安装的设计。</w:t>
      </w:r>
    </w:p>
    <w:p>
      <w:pPr>
        <w:numPr>
          <w:ilvl w:val="0"/>
          <w:numId w:val="4"/>
        </w:numPr>
        <w:rPr>
          <w:color w:val="auto"/>
          <w:highlight w:val="none"/>
        </w:rPr>
      </w:pPr>
      <w:r>
        <w:rPr>
          <w:rFonts w:hint="eastAsia"/>
          <w:color w:val="auto"/>
          <w:highlight w:val="none"/>
        </w:rPr>
        <w:t>混凝土模块化建筑可集成太阳能、储能和智慧化系统，提升建筑的可持续性和能源效率。</w:t>
      </w:r>
    </w:p>
    <w:p>
      <w:pPr>
        <w:numPr>
          <w:ilvl w:val="0"/>
          <w:numId w:val="4"/>
        </w:numPr>
        <w:rPr>
          <w:color w:val="auto"/>
          <w:highlight w:val="none"/>
        </w:rPr>
      </w:pPr>
      <w:r>
        <w:rPr>
          <w:rFonts w:hint="eastAsia"/>
          <w:color w:val="auto"/>
          <w:highlight w:val="none"/>
        </w:rPr>
        <w:t>混凝土模块化建筑的方案及初步设计阶段需明确平面、立面、剖面及关键节点构造，标准化模块单元尺寸，满足模块单元适应运输和吊装要求，并进行室内装修方案设计。</w:t>
      </w:r>
    </w:p>
    <w:p>
      <w:pPr>
        <w:numPr>
          <w:ilvl w:val="0"/>
          <w:numId w:val="4"/>
        </w:numPr>
        <w:rPr>
          <w:color w:val="auto"/>
          <w:highlight w:val="none"/>
        </w:rPr>
      </w:pPr>
      <w:r>
        <w:rPr>
          <w:rFonts w:hint="eastAsia"/>
          <w:color w:val="auto"/>
          <w:highlight w:val="none"/>
        </w:rPr>
        <w:t>混凝土模块化建筑的施工图设计阶段应综合协调集成于模块单元的各项设计内容，以及模块单元与模块化建筑专项系统连接节点的标准化设计，形成完整的施工图文件。</w:t>
      </w:r>
    </w:p>
    <w:p>
      <w:pPr>
        <w:numPr>
          <w:ilvl w:val="0"/>
          <w:numId w:val="4"/>
        </w:numPr>
        <w:rPr>
          <w:color w:val="auto"/>
          <w:highlight w:val="none"/>
        </w:rPr>
      </w:pPr>
      <w:r>
        <w:rPr>
          <w:rFonts w:hint="eastAsia"/>
          <w:color w:val="auto"/>
          <w:highlight w:val="none"/>
        </w:rPr>
        <w:t>模块单元加工图设计应完成加工图绘制和验算，包括模块单元结构、设备管线、内装和围护系统等内容，需考虑连接点预留、吊装运输吊点设置、成品保护及临时安全防护设施的预留等。</w:t>
      </w:r>
    </w:p>
    <w:p>
      <w:pPr>
        <w:numPr>
          <w:ilvl w:val="0"/>
          <w:numId w:val="4"/>
        </w:numPr>
        <w:rPr>
          <w:color w:val="auto"/>
          <w:highlight w:val="none"/>
        </w:rPr>
      </w:pPr>
      <w:r>
        <w:rPr>
          <w:rFonts w:hint="eastAsia"/>
          <w:color w:val="auto"/>
          <w:highlight w:val="none"/>
        </w:rPr>
        <w:t>模块单元加工图设计成果应经过主体及专项设计单位确认。</w:t>
      </w:r>
    </w:p>
    <w:p>
      <w:pPr>
        <w:pStyle w:val="4"/>
        <w:ind w:left="190"/>
        <w:rPr>
          <w:color w:val="auto"/>
          <w:highlight w:val="none"/>
        </w:rPr>
      </w:pPr>
      <w:bookmarkStart w:id="156" w:name="_Toc8737"/>
      <w:bookmarkStart w:id="157" w:name="_Toc25038"/>
      <w:bookmarkStart w:id="158" w:name="_Toc32128"/>
      <w:bookmarkStart w:id="159" w:name="_Toc19597"/>
      <w:bookmarkStart w:id="160" w:name="_Toc31168"/>
      <w:bookmarkStart w:id="161" w:name="_Toc21371"/>
      <w:bookmarkStart w:id="162" w:name="_Toc30306"/>
      <w:bookmarkStart w:id="163" w:name="_Toc14944"/>
      <w:bookmarkStart w:id="164" w:name="_Toc2460"/>
      <w:bookmarkStart w:id="165" w:name="_Toc5550"/>
      <w:bookmarkStart w:id="166" w:name="_Toc13983"/>
      <w:bookmarkStart w:id="167" w:name="_Toc10295"/>
      <w:bookmarkStart w:id="168" w:name="_Toc4038"/>
      <w:bookmarkStart w:id="169" w:name="_Toc5146"/>
      <w:bookmarkStart w:id="170" w:name="_Toc29513"/>
      <w:bookmarkStart w:id="171" w:name="_Toc3402"/>
      <w:bookmarkStart w:id="172" w:name="_Toc26379"/>
      <w:r>
        <w:rPr>
          <w:rFonts w:hint="eastAsia" w:eastAsia="宋体"/>
          <w:b/>
          <w:bCs w:val="0"/>
          <w:color w:val="auto"/>
          <w:highlight w:val="none"/>
        </w:rPr>
        <w:t>3</w:t>
      </w:r>
      <w:r>
        <w:rPr>
          <w:rFonts w:hint="eastAsia" w:ascii="宋体" w:hAnsi="宋体" w:eastAsia="宋体"/>
          <w:color w:val="auto"/>
          <w:szCs w:val="21"/>
          <w:highlight w:val="none"/>
        </w:rPr>
        <w:t>.</w:t>
      </w:r>
      <w:r>
        <w:rPr>
          <w:rFonts w:hint="eastAsia" w:eastAsia="宋体"/>
          <w:b/>
          <w:bCs w:val="0"/>
          <w:color w:val="auto"/>
          <w:highlight w:val="none"/>
        </w:rPr>
        <w:t>3</w:t>
      </w:r>
      <w:r>
        <w:rPr>
          <w:rFonts w:hint="eastAsia"/>
          <w:color w:val="auto"/>
          <w:highlight w:val="none"/>
        </w:rPr>
        <w:t xml:space="preserve">  工厂制造与现场施工策划</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pPr>
        <w:numPr>
          <w:ilvl w:val="0"/>
          <w:numId w:val="5"/>
        </w:numPr>
        <w:rPr>
          <w:color w:val="auto"/>
          <w:highlight w:val="none"/>
        </w:rPr>
      </w:pPr>
      <w:r>
        <w:rPr>
          <w:rFonts w:hint="eastAsia"/>
          <w:color w:val="auto"/>
          <w:highlight w:val="none"/>
        </w:rPr>
        <w:t>混凝土模块化建筑建造应分为模块单元的工厂集成制造和现场安装施工两大部分。模块制造单位与现场施工单位应密切协作，合理编制模块单元的制造顺序和进度计划。</w:t>
      </w:r>
    </w:p>
    <w:p>
      <w:pPr>
        <w:numPr>
          <w:ilvl w:val="0"/>
          <w:numId w:val="5"/>
        </w:numPr>
        <w:rPr>
          <w:color w:val="auto"/>
          <w:highlight w:val="none"/>
        </w:rPr>
      </w:pPr>
      <w:r>
        <w:rPr>
          <w:rFonts w:hint="eastAsia"/>
          <w:color w:val="auto"/>
          <w:highlight w:val="none"/>
        </w:rPr>
        <w:t>建设单位宜根据项目特点组织相关单位对工厂和现场的施工界面进行合理划分，并宜在模块单元加工图中明确。</w:t>
      </w:r>
    </w:p>
    <w:p>
      <w:pPr>
        <w:numPr>
          <w:ilvl w:val="0"/>
          <w:numId w:val="5"/>
        </w:numPr>
        <w:rPr>
          <w:color w:val="auto"/>
          <w:highlight w:val="none"/>
        </w:rPr>
      </w:pPr>
      <w:r>
        <w:rPr>
          <w:rFonts w:hint="eastAsia"/>
          <w:color w:val="auto"/>
          <w:highlight w:val="none"/>
        </w:rPr>
        <w:t>混凝土模块化建筑项目应由具备相关资质、技术工艺、厂内储运、质量安全管理体系的制造单位承担，产能应满足工期需求。</w:t>
      </w:r>
    </w:p>
    <w:p>
      <w:pPr>
        <w:numPr>
          <w:ilvl w:val="0"/>
          <w:numId w:val="5"/>
        </w:numPr>
        <w:rPr>
          <w:color w:val="auto"/>
          <w:highlight w:val="none"/>
        </w:rPr>
      </w:pPr>
      <w:r>
        <w:rPr>
          <w:rFonts w:hint="eastAsia"/>
          <w:color w:val="auto"/>
          <w:highlight w:val="none"/>
        </w:rPr>
        <w:t>混凝土模块化建筑现场施工前应按照工程特性以及地区特点编制施工组织设计、施工专项方案。</w:t>
      </w:r>
    </w:p>
    <w:p>
      <w:pPr>
        <w:tabs>
          <w:tab w:val="left" w:pos="0"/>
        </w:tabs>
        <w:rPr>
          <w:color w:val="auto"/>
          <w:highlight w:val="none"/>
        </w:rPr>
      </w:pPr>
    </w:p>
    <w:p>
      <w:pPr>
        <w:numPr>
          <w:ilvl w:val="0"/>
          <w:numId w:val="5"/>
        </w:numPr>
        <w:rPr>
          <w:color w:val="auto"/>
          <w:highlight w:val="none"/>
        </w:rPr>
        <w:sectPr>
          <w:pgSz w:w="11906" w:h="16838"/>
          <w:pgMar w:top="1610" w:right="1349" w:bottom="1213" w:left="1293" w:header="851" w:footer="992" w:gutter="0"/>
          <w:cols w:space="720" w:num="1"/>
          <w:docGrid w:type="linesAndChars" w:linePitch="333" w:charSpace="2165"/>
        </w:sectPr>
      </w:pPr>
    </w:p>
    <w:p>
      <w:pPr>
        <w:pStyle w:val="2"/>
        <w:rPr>
          <w:b/>
          <w:bCs w:val="0"/>
          <w:color w:val="auto"/>
          <w:highlight w:val="none"/>
        </w:rPr>
      </w:pPr>
      <w:bookmarkStart w:id="173" w:name="_Toc32744"/>
      <w:bookmarkStart w:id="174" w:name="_Toc5299"/>
      <w:bookmarkStart w:id="175" w:name="_Toc6245"/>
      <w:bookmarkStart w:id="176" w:name="_Toc10630"/>
      <w:bookmarkStart w:id="177" w:name="_Toc21513"/>
      <w:bookmarkStart w:id="178" w:name="_Toc29086"/>
      <w:bookmarkStart w:id="179" w:name="_Toc12090"/>
      <w:bookmarkStart w:id="180" w:name="_Toc6039"/>
      <w:bookmarkStart w:id="181" w:name="_Toc16612"/>
      <w:bookmarkStart w:id="182" w:name="_Toc14511"/>
      <w:bookmarkStart w:id="183" w:name="_Toc29180"/>
      <w:bookmarkStart w:id="184" w:name="_Toc12509"/>
      <w:bookmarkStart w:id="185" w:name="_Toc25226"/>
      <w:bookmarkStart w:id="186" w:name="_Toc5910"/>
      <w:bookmarkStart w:id="187" w:name="_Toc7163"/>
      <w:bookmarkStart w:id="188" w:name="_Toc30357"/>
      <w:bookmarkStart w:id="189" w:name="_Toc21065"/>
      <w:bookmarkStart w:id="190" w:name="_Toc27899"/>
      <w:bookmarkStart w:id="191" w:name="_Toc6189"/>
      <w:bookmarkStart w:id="192" w:name="_Toc30521"/>
      <w:bookmarkStart w:id="193" w:name="_Toc13010"/>
      <w:bookmarkStart w:id="194" w:name="_Toc25848"/>
      <w:bookmarkStart w:id="195" w:name="_Toc17752"/>
      <w:bookmarkStart w:id="196" w:name="_Toc5533"/>
      <w:bookmarkStart w:id="197" w:name="_Toc23508"/>
      <w:bookmarkStart w:id="198" w:name="_Toc6637"/>
      <w:bookmarkStart w:id="199" w:name="_Toc1297"/>
      <w:bookmarkStart w:id="200" w:name="_Toc6913"/>
      <w:bookmarkStart w:id="201" w:name="_Toc5427"/>
      <w:bookmarkStart w:id="202" w:name="_Toc20611"/>
      <w:bookmarkStart w:id="203" w:name="_Toc6224"/>
      <w:bookmarkStart w:id="204" w:name="_Toc4051"/>
      <w:bookmarkStart w:id="205" w:name="_Toc13975"/>
      <w:r>
        <w:rPr>
          <w:rFonts w:hint="eastAsia"/>
          <w:b/>
          <w:bCs w:val="0"/>
          <w:color w:val="auto"/>
          <w:highlight w:val="none"/>
        </w:rPr>
        <w:t>4  建筑设计</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pPr>
        <w:pStyle w:val="4"/>
        <w:rPr>
          <w:color w:val="auto"/>
          <w:highlight w:val="none"/>
        </w:rPr>
      </w:pPr>
      <w:bookmarkStart w:id="206" w:name="_Toc21772"/>
      <w:bookmarkStart w:id="207" w:name="_Toc29886"/>
      <w:bookmarkStart w:id="208" w:name="_Toc32643"/>
      <w:bookmarkStart w:id="209" w:name="_Toc2950"/>
      <w:bookmarkStart w:id="210" w:name="_Toc20602"/>
      <w:bookmarkStart w:id="211" w:name="_Toc30458"/>
      <w:bookmarkStart w:id="212" w:name="_Toc22421"/>
      <w:bookmarkStart w:id="213" w:name="_Toc28202"/>
      <w:bookmarkStart w:id="214" w:name="_Toc19605"/>
      <w:bookmarkStart w:id="215" w:name="_Toc8766"/>
      <w:bookmarkStart w:id="216" w:name="_Toc18990"/>
      <w:bookmarkStart w:id="217" w:name="_Toc13640"/>
      <w:bookmarkStart w:id="218" w:name="_Toc18692"/>
      <w:bookmarkStart w:id="219" w:name="_Toc3048"/>
      <w:bookmarkStart w:id="220" w:name="_Toc27559"/>
      <w:bookmarkStart w:id="221" w:name="_Toc17548"/>
      <w:bookmarkStart w:id="222" w:name="_Toc27696"/>
      <w:bookmarkStart w:id="223" w:name="_Toc23989"/>
      <w:bookmarkStart w:id="224" w:name="_Toc31573"/>
      <w:bookmarkStart w:id="225" w:name="_Toc1652"/>
      <w:bookmarkStart w:id="226" w:name="_Toc22747"/>
      <w:bookmarkStart w:id="227" w:name="_Toc15023"/>
      <w:bookmarkStart w:id="228" w:name="_Toc19446"/>
      <w:bookmarkStart w:id="229" w:name="_Toc986"/>
      <w:bookmarkStart w:id="230" w:name="_Toc4428"/>
      <w:bookmarkStart w:id="231" w:name="_Toc9559"/>
      <w:bookmarkStart w:id="232" w:name="_Toc15330"/>
      <w:bookmarkStart w:id="233" w:name="_Toc15563"/>
      <w:bookmarkStart w:id="234" w:name="_Toc8230"/>
      <w:bookmarkStart w:id="235" w:name="_Toc26399"/>
      <w:bookmarkStart w:id="236" w:name="_Toc12698"/>
      <w:bookmarkStart w:id="237" w:name="_Toc22840"/>
      <w:bookmarkStart w:id="238" w:name="_Toc17577"/>
      <w:r>
        <w:rPr>
          <w:rFonts w:hint="eastAsia"/>
          <w:b/>
          <w:bCs w:val="0"/>
          <w:color w:val="auto"/>
          <w:highlight w:val="none"/>
        </w:rPr>
        <w:t>4</w:t>
      </w:r>
      <w:r>
        <w:rPr>
          <w:rFonts w:hint="eastAsia" w:ascii="宋体" w:hAnsi="宋体" w:eastAsia="宋体"/>
          <w:color w:val="auto"/>
          <w:szCs w:val="21"/>
          <w:highlight w:val="none"/>
        </w:rPr>
        <w:t>.</w:t>
      </w:r>
      <w:r>
        <w:rPr>
          <w:b/>
          <w:bCs w:val="0"/>
          <w:color w:val="auto"/>
          <w:highlight w:val="none"/>
        </w:rPr>
        <w:t>1</w:t>
      </w:r>
      <w:r>
        <w:rPr>
          <w:rFonts w:hint="eastAsia"/>
          <w:color w:val="auto"/>
          <w:highlight w:val="none"/>
        </w:rPr>
        <w:t xml:space="preserve">  一般规定</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pPr>
        <w:numPr>
          <w:ilvl w:val="0"/>
          <w:numId w:val="6"/>
        </w:numPr>
        <w:rPr>
          <w:color w:val="auto"/>
          <w:highlight w:val="none"/>
        </w:rPr>
      </w:pPr>
      <w:r>
        <w:rPr>
          <w:rFonts w:hint="eastAsia"/>
          <w:color w:val="auto"/>
          <w:highlight w:val="none"/>
        </w:rPr>
        <w:t>混凝土模块化建筑的设计应符合现行国家标准</w:t>
      </w:r>
      <w:r>
        <w:rPr>
          <w:color w:val="auto"/>
          <w:highlight w:val="none"/>
        </w:rPr>
        <w:t>《民用建筑通用规范》GB 55031</w:t>
      </w:r>
      <w:r>
        <w:rPr>
          <w:rFonts w:hint="eastAsia"/>
          <w:color w:val="auto"/>
          <w:highlight w:val="none"/>
        </w:rPr>
        <w:t>、《民用建筑设计统一标准》GB 50352、《装配式混凝土建筑技术标准》GB/T 51231、《民用建筑工程室内环境污染控制标准》GB 50325和上海市地方标准《装配整体式混凝土居住建筑设计规程》DG/TJ 08-2071、《装配整体式混凝土公共建筑设计规程》DG/TJ 08-2154等相关规范及标准的有关规定。</w:t>
      </w:r>
    </w:p>
    <w:p>
      <w:pPr>
        <w:numPr>
          <w:ilvl w:val="0"/>
          <w:numId w:val="6"/>
        </w:numPr>
        <w:rPr>
          <w:color w:val="auto"/>
          <w:highlight w:val="none"/>
        </w:rPr>
      </w:pPr>
      <w:r>
        <w:rPr>
          <w:rFonts w:hint="eastAsia"/>
          <w:color w:val="auto"/>
          <w:highlight w:val="none"/>
        </w:rPr>
        <w:t>混凝土模块单元建筑设计应满足建筑功能和内部空间需求，混凝土模块单元的尺寸应根据项目的建筑功能、生产设备、交通运输条件、吊装设备、现场施工安装条件等因素综合确定。</w:t>
      </w:r>
    </w:p>
    <w:p>
      <w:pPr>
        <w:numPr>
          <w:ilvl w:val="0"/>
          <w:numId w:val="6"/>
        </w:numPr>
        <w:rPr>
          <w:color w:val="auto"/>
          <w:highlight w:val="none"/>
        </w:rPr>
      </w:pPr>
      <w:r>
        <w:rPr>
          <w:rFonts w:hint="eastAsia"/>
          <w:color w:val="auto"/>
          <w:highlight w:val="none"/>
        </w:rPr>
        <w:t>混凝土模块化建筑的防火设计应符合现行国家标准《建筑防火通用规范》GB</w:t>
      </w:r>
      <w:r>
        <w:rPr>
          <w:color w:val="auto"/>
          <w:highlight w:val="none"/>
        </w:rPr>
        <w:t xml:space="preserve"> 55037、</w:t>
      </w:r>
      <w:r>
        <w:rPr>
          <w:rFonts w:hint="eastAsia"/>
          <w:color w:val="auto"/>
          <w:highlight w:val="none"/>
        </w:rPr>
        <w:t>《建筑设计防火规范》GB 50016的有关规定。混凝土模块化建筑内装修工程防火设计还应符合现行国家标准《建筑内部装修设计防火规范》GB 50222的有关规定。</w:t>
      </w:r>
    </w:p>
    <w:p>
      <w:pPr>
        <w:numPr>
          <w:ilvl w:val="0"/>
          <w:numId w:val="6"/>
        </w:numPr>
        <w:rPr>
          <w:color w:val="auto"/>
          <w:highlight w:val="none"/>
        </w:rPr>
      </w:pPr>
      <w:r>
        <w:rPr>
          <w:rFonts w:hint="eastAsia"/>
          <w:color w:val="auto"/>
          <w:highlight w:val="none"/>
        </w:rPr>
        <w:t>混凝土模块化建筑的节能设计应符合国家现行标准《建筑节能与可再生能源利用通用规范》GB 55015、《民用建筑热工设计规范》GB 50176、《公共建筑节能设计标准》GB 50189、《夏热冬冷地区居住建筑节能设计标准》JGJ 134及上海市地方标准《居住建筑节能设计标准》DG/TJ 08-205、《公共建筑节能设计标准》DGJ 08-107的有关规定。</w:t>
      </w:r>
    </w:p>
    <w:p>
      <w:pPr>
        <w:numPr>
          <w:ilvl w:val="0"/>
          <w:numId w:val="6"/>
        </w:numPr>
        <w:rPr>
          <w:color w:val="auto"/>
          <w:highlight w:val="none"/>
        </w:rPr>
      </w:pPr>
      <w:r>
        <w:rPr>
          <w:rFonts w:hint="eastAsia"/>
          <w:color w:val="auto"/>
          <w:highlight w:val="none"/>
        </w:rPr>
        <w:t>混凝土模块化建筑外墙用保温材料应符合现行行业标准《外墙外保温工程技术标准》JGJ 144、《外墙内保温工程技术标准》JGJ/T 261和上海市《建筑外墙保温材料应用统一技术规定》（沪建建材339号）的有关规定。</w:t>
      </w:r>
    </w:p>
    <w:p>
      <w:pPr>
        <w:numPr>
          <w:ilvl w:val="0"/>
          <w:numId w:val="6"/>
        </w:numPr>
        <w:rPr>
          <w:color w:val="auto"/>
          <w:highlight w:val="none"/>
        </w:rPr>
      </w:pPr>
      <w:r>
        <w:rPr>
          <w:rFonts w:hint="eastAsia"/>
          <w:color w:val="auto"/>
          <w:highlight w:val="none"/>
        </w:rPr>
        <w:t>混凝土模块化建筑的防水工程和防水材料应符合国家现行标准《建筑与市政工程防水通用规范》GB 55030、《住宅室内防水工程技术规范》JGJ 298、《建筑外墙防水工程技术规程》JGJ /T235和《上海市房屋（住宅）建筑防水工程质量指导手册》（沪建标定12号）的有关规定。</w:t>
      </w:r>
    </w:p>
    <w:p>
      <w:pPr>
        <w:numPr>
          <w:ilvl w:val="0"/>
          <w:numId w:val="6"/>
        </w:numPr>
        <w:rPr>
          <w:color w:val="auto"/>
          <w:highlight w:val="none"/>
        </w:rPr>
      </w:pPr>
      <w:r>
        <w:rPr>
          <w:rFonts w:hint="eastAsia"/>
          <w:color w:val="auto"/>
          <w:highlight w:val="none"/>
        </w:rPr>
        <w:t>混凝土模块化建筑的隔声性能应符合现行国家标准《建筑环境通用规范》GB 55016和《民用建筑隔声设计规范》GB 50118的有关规定。</w:t>
      </w:r>
    </w:p>
    <w:p>
      <w:pPr>
        <w:pStyle w:val="4"/>
        <w:rPr>
          <w:color w:val="auto"/>
          <w:highlight w:val="none"/>
        </w:rPr>
      </w:pPr>
      <w:bookmarkStart w:id="239" w:name="_Toc8839"/>
      <w:bookmarkStart w:id="240" w:name="_Toc28306"/>
      <w:bookmarkStart w:id="241" w:name="_Toc30080"/>
      <w:bookmarkStart w:id="242" w:name="_Toc12603"/>
      <w:bookmarkStart w:id="243" w:name="_Toc9734"/>
      <w:bookmarkStart w:id="244" w:name="_Toc32148"/>
      <w:bookmarkStart w:id="245" w:name="_Toc20597"/>
      <w:bookmarkStart w:id="246" w:name="_Toc13111"/>
      <w:bookmarkStart w:id="247" w:name="_Toc14357"/>
      <w:bookmarkStart w:id="248" w:name="_Toc26320"/>
      <w:bookmarkStart w:id="249" w:name="_Toc16789"/>
      <w:bookmarkStart w:id="250" w:name="_Toc14547"/>
      <w:bookmarkStart w:id="251" w:name="_Toc31463"/>
      <w:bookmarkStart w:id="252" w:name="_Toc26014"/>
      <w:bookmarkStart w:id="253" w:name="_Toc1603"/>
      <w:bookmarkStart w:id="254" w:name="_Toc21997"/>
      <w:bookmarkStart w:id="255" w:name="_Toc1233"/>
      <w:bookmarkStart w:id="256" w:name="_Toc22223"/>
      <w:bookmarkStart w:id="257" w:name="_Toc13126"/>
      <w:bookmarkStart w:id="258" w:name="_Toc14917"/>
      <w:bookmarkStart w:id="259" w:name="_Toc6289"/>
      <w:bookmarkStart w:id="260" w:name="_Toc24646"/>
      <w:bookmarkStart w:id="261" w:name="_Toc1778"/>
      <w:bookmarkStart w:id="262" w:name="_Toc983"/>
      <w:bookmarkStart w:id="263" w:name="_Toc6205"/>
      <w:bookmarkStart w:id="264" w:name="_Toc7727"/>
      <w:bookmarkStart w:id="265" w:name="_Toc12044"/>
      <w:bookmarkStart w:id="266" w:name="_Toc18130"/>
      <w:bookmarkStart w:id="267" w:name="_Toc6911"/>
      <w:bookmarkStart w:id="268" w:name="_Toc25419"/>
      <w:bookmarkStart w:id="269" w:name="_Toc27162"/>
      <w:bookmarkStart w:id="270" w:name="_Toc12839"/>
      <w:bookmarkStart w:id="271" w:name="_Toc20377"/>
      <w:r>
        <w:rPr>
          <w:b/>
          <w:bCs w:val="0"/>
          <w:color w:val="auto"/>
          <w:highlight w:val="none"/>
        </w:rPr>
        <w:t>4</w:t>
      </w:r>
      <w:r>
        <w:rPr>
          <w:rFonts w:hint="eastAsia" w:ascii="宋体" w:hAnsi="宋体" w:eastAsia="宋体"/>
          <w:b/>
          <w:bCs w:val="0"/>
          <w:color w:val="auto"/>
          <w:szCs w:val="21"/>
          <w:highlight w:val="none"/>
        </w:rPr>
        <w:t>.</w:t>
      </w:r>
      <w:r>
        <w:rPr>
          <w:b/>
          <w:bCs w:val="0"/>
          <w:color w:val="auto"/>
          <w:highlight w:val="none"/>
        </w:rPr>
        <w:t>2</w:t>
      </w:r>
      <w:r>
        <w:rPr>
          <w:rFonts w:hint="eastAsia"/>
          <w:color w:val="auto"/>
          <w:highlight w:val="none"/>
        </w:rPr>
        <w:t xml:space="preserve">  模数协调</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pPr>
        <w:numPr>
          <w:ilvl w:val="0"/>
          <w:numId w:val="7"/>
        </w:numPr>
        <w:rPr>
          <w:color w:val="auto"/>
          <w:highlight w:val="none"/>
        </w:rPr>
      </w:pPr>
      <w:r>
        <w:rPr>
          <w:rFonts w:hint="eastAsia"/>
          <w:color w:val="auto"/>
          <w:highlight w:val="none"/>
        </w:rPr>
        <w:t>混凝土模块化建筑设计、制造和装配中的模数数列应根据建筑功能和经济性原则确定，并应符合现行国家标准《建筑模数协调标准》GB/T 50002的有关规定。</w:t>
      </w:r>
    </w:p>
    <w:p>
      <w:pPr>
        <w:numPr>
          <w:ilvl w:val="0"/>
          <w:numId w:val="7"/>
        </w:numPr>
        <w:rPr>
          <w:color w:val="auto"/>
          <w:highlight w:val="none"/>
        </w:rPr>
      </w:pPr>
      <w:r>
        <w:rPr>
          <w:rFonts w:hint="eastAsia"/>
          <w:color w:val="auto"/>
          <w:highlight w:val="none"/>
        </w:rPr>
        <w:t>混凝土模块化建筑标准化设计理念应贯穿模块化建筑建造的全过程，混凝土模块化建筑应在模数协调的基础上遵循“少规格、多组合”的原则。</w:t>
      </w:r>
    </w:p>
    <w:p>
      <w:pPr>
        <w:numPr>
          <w:ilvl w:val="0"/>
          <w:numId w:val="7"/>
        </w:numPr>
        <w:rPr>
          <w:color w:val="auto"/>
          <w:highlight w:val="none"/>
        </w:rPr>
      </w:pPr>
      <w:r>
        <w:rPr>
          <w:rFonts w:hint="eastAsia"/>
          <w:color w:val="auto"/>
          <w:highlight w:val="none"/>
        </w:rPr>
        <w:t>模数协调宜采用模数网格建立正交的三维空间模数参考系统，每个模块单元及其内装部品的安装基准面宜在空间模数参考系统中确定，模块单元之间、模块单元与内装系统之间以及各个内装系统之间的模数协调关系宜通过标准化接口和公差系统确立。</w:t>
      </w:r>
    </w:p>
    <w:p>
      <w:pPr>
        <w:numPr>
          <w:ilvl w:val="0"/>
          <w:numId w:val="7"/>
        </w:numPr>
        <w:rPr>
          <w:color w:val="auto"/>
          <w:highlight w:val="none"/>
        </w:rPr>
      </w:pPr>
      <w:r>
        <w:rPr>
          <w:rFonts w:hint="eastAsia"/>
          <w:color w:val="auto"/>
          <w:highlight w:val="none"/>
        </w:rPr>
        <w:t>模块单元沿水平方向定位的标志尺寸应符合下列规定：</w:t>
      </w:r>
    </w:p>
    <w:p>
      <w:pPr>
        <w:ind w:firstLine="440" w:firstLineChars="200"/>
        <w:rPr>
          <w:color w:val="auto"/>
          <w:highlight w:val="none"/>
        </w:rPr>
      </w:pPr>
      <w:r>
        <w:rPr>
          <w:rFonts w:eastAsia="黑体"/>
          <w:b/>
          <w:color w:val="auto"/>
          <w:highlight w:val="none"/>
        </w:rPr>
        <w:t xml:space="preserve">1  </w:t>
      </w:r>
      <w:r>
        <w:rPr>
          <w:rFonts w:hint="eastAsia"/>
          <w:color w:val="auto"/>
          <w:highlight w:val="none"/>
        </w:rPr>
        <w:t>模块单元沿水平方向的定位基准面宜采用中心线定位法与界面定位法结合的方法，中心线应定位于模块单元间接口的中间位置，界面宜定位于模块单元的两侧内表面（图4.2.4）；</w:t>
      </w:r>
    </w:p>
    <w:p>
      <w:pPr>
        <w:ind w:firstLine="440" w:firstLineChars="200"/>
        <w:rPr>
          <w:color w:val="auto"/>
          <w:highlight w:val="none"/>
        </w:rPr>
      </w:pPr>
      <w:r>
        <w:rPr>
          <w:rFonts w:hint="eastAsia"/>
          <w:b/>
          <w:color w:val="auto"/>
          <w:highlight w:val="none"/>
        </w:rPr>
        <w:t>2</w:t>
      </w:r>
      <w:r>
        <w:rPr>
          <w:b/>
          <w:color w:val="auto"/>
          <w:highlight w:val="none"/>
        </w:rPr>
        <w:t xml:space="preserve">  </w:t>
      </w:r>
      <w:r>
        <w:rPr>
          <w:rFonts w:hint="eastAsia"/>
          <w:color w:val="auto"/>
          <w:highlight w:val="none"/>
        </w:rPr>
        <w:t>混凝土模块化建筑平面中相邻中心线间距尺寸应等于模块单元内部净尺寸、模块单元两侧墙体厚度与模块单元之间接口尺寸之和；</w:t>
      </w:r>
    </w:p>
    <w:p>
      <w:pPr>
        <w:ind w:firstLine="440" w:firstLineChars="200"/>
        <w:rPr>
          <w:color w:val="auto"/>
          <w:kern w:val="0"/>
          <w:szCs w:val="24"/>
          <w:highlight w:val="none"/>
        </w:rPr>
      </w:pPr>
      <w:r>
        <w:rPr>
          <w:rFonts w:eastAsia="黑体"/>
          <w:b/>
          <w:color w:val="auto"/>
          <w:highlight w:val="none"/>
        </w:rPr>
        <w:t xml:space="preserve">3  </w:t>
      </w:r>
      <w:r>
        <w:rPr>
          <w:rFonts w:hint="eastAsia"/>
          <w:color w:val="auto"/>
          <w:highlight w:val="none"/>
        </w:rPr>
        <w:t>混凝土模块化建筑平面中</w:t>
      </w:r>
      <w:r>
        <w:rPr>
          <w:rFonts w:hint="eastAsia"/>
          <w:color w:val="auto"/>
          <w:kern w:val="0"/>
          <w:szCs w:val="24"/>
          <w:highlight w:val="none"/>
        </w:rPr>
        <w:t>相邻模块单元之间的接口尺寸宜取2</w:t>
      </w:r>
      <w:r>
        <w:rPr>
          <w:color w:val="auto"/>
          <w:kern w:val="0"/>
          <w:szCs w:val="24"/>
          <w:highlight w:val="none"/>
        </w:rPr>
        <w:t>0</w:t>
      </w:r>
      <w:r>
        <w:rPr>
          <w:rFonts w:hint="eastAsia"/>
          <w:color w:val="auto"/>
          <w:kern w:val="0"/>
          <w:szCs w:val="24"/>
          <w:highlight w:val="none"/>
        </w:rPr>
        <w:t>mm，具体尺寸可根据模块单元的尺寸、运输条件及现场安装要求进行调整；</w:t>
      </w:r>
    </w:p>
    <w:p>
      <w:pPr>
        <w:ind w:firstLine="440" w:firstLineChars="200"/>
        <w:rPr>
          <w:rFonts w:eastAsia="楷体"/>
          <w:color w:val="auto"/>
          <w:highlight w:val="none"/>
        </w:rPr>
      </w:pPr>
      <w:r>
        <w:rPr>
          <w:rFonts w:eastAsia="黑体"/>
          <w:b/>
          <w:color w:val="auto"/>
          <w:highlight w:val="none"/>
        </w:rPr>
        <w:t xml:space="preserve">4  </w:t>
      </w:r>
      <w:r>
        <w:rPr>
          <w:rFonts w:hint="eastAsia"/>
          <w:color w:val="auto"/>
          <w:highlight w:val="none"/>
        </w:rPr>
        <w:t>混凝土模块化建筑平面中宜优先满足</w:t>
      </w:r>
      <w:r>
        <w:rPr>
          <w:rFonts w:hint="eastAsia"/>
          <w:color w:val="auto"/>
          <w:kern w:val="0"/>
          <w:szCs w:val="24"/>
          <w:highlight w:val="none"/>
        </w:rPr>
        <w:t>净尺寸模数，再满足标志尺寸模数。</w:t>
      </w:r>
    </w:p>
    <w:p>
      <w:pPr>
        <w:snapToGrid w:val="0"/>
        <w:jc w:val="center"/>
        <w:rPr>
          <w:color w:val="auto"/>
          <w:highlight w:val="none"/>
        </w:rPr>
      </w:pPr>
      <w:r>
        <w:rPr>
          <w:color w:val="auto"/>
          <w:highlight w:val="none"/>
        </w:rPr>
        <w:drawing>
          <wp:inline distT="0" distB="0" distL="114300" distR="114300">
            <wp:extent cx="2326005" cy="2160270"/>
            <wp:effectExtent l="0" t="0" r="5715" b="3810"/>
            <wp:docPr id="6"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4"/>
                    <pic:cNvPicPr>
                      <a:picLocks noChangeAspect="1"/>
                    </pic:cNvPicPr>
                  </pic:nvPicPr>
                  <pic:blipFill>
                    <a:blip r:embed="rId18"/>
                    <a:stretch>
                      <a:fillRect/>
                    </a:stretch>
                  </pic:blipFill>
                  <pic:spPr>
                    <a:xfrm>
                      <a:off x="0" y="0"/>
                      <a:ext cx="2326005" cy="2160270"/>
                    </a:xfrm>
                    <a:prstGeom prst="rect">
                      <a:avLst/>
                    </a:prstGeom>
                    <a:noFill/>
                    <a:ln>
                      <a:noFill/>
                    </a:ln>
                  </pic:spPr>
                </pic:pic>
              </a:graphicData>
            </a:graphic>
          </wp:inline>
        </w:drawing>
      </w:r>
    </w:p>
    <w:p>
      <w:pPr>
        <w:pStyle w:val="54"/>
        <w:rPr>
          <w:rFonts w:eastAsia="仿宋"/>
          <w:b/>
          <w:bCs/>
          <w:color w:val="auto"/>
          <w:sz w:val="21"/>
          <w:szCs w:val="24"/>
          <w:highlight w:val="none"/>
        </w:rPr>
      </w:pPr>
      <w:r>
        <w:rPr>
          <w:rFonts w:eastAsia="仿宋"/>
          <w:b/>
          <w:bCs/>
          <w:color w:val="auto"/>
          <w:sz w:val="21"/>
          <w:szCs w:val="24"/>
          <w:highlight w:val="none"/>
        </w:rPr>
        <w:t>图4</w:t>
      </w:r>
      <w:r>
        <w:rPr>
          <w:rFonts w:hint="eastAsia" w:ascii="仿宋" w:hAnsi="仿宋" w:eastAsia="仿宋" w:cs="仿宋"/>
          <w:b/>
          <w:bCs/>
          <w:color w:val="auto"/>
          <w:highlight w:val="none"/>
        </w:rPr>
        <w:t>.</w:t>
      </w:r>
      <w:r>
        <w:rPr>
          <w:rFonts w:eastAsia="仿宋"/>
          <w:b/>
          <w:bCs/>
          <w:color w:val="auto"/>
          <w:sz w:val="21"/>
          <w:szCs w:val="24"/>
          <w:highlight w:val="none"/>
        </w:rPr>
        <w:t>2</w:t>
      </w:r>
      <w:r>
        <w:rPr>
          <w:rFonts w:hint="eastAsia" w:ascii="仿宋" w:hAnsi="仿宋" w:eastAsia="仿宋" w:cs="仿宋"/>
          <w:b/>
          <w:bCs/>
          <w:color w:val="auto"/>
          <w:highlight w:val="none"/>
        </w:rPr>
        <w:t>.</w:t>
      </w:r>
      <w:r>
        <w:rPr>
          <w:rFonts w:eastAsia="仿宋"/>
          <w:b/>
          <w:bCs/>
          <w:color w:val="auto"/>
          <w:sz w:val="21"/>
          <w:szCs w:val="24"/>
          <w:highlight w:val="none"/>
        </w:rPr>
        <w:t>4-(a)  模块化框架结构中模块单元的定位轴线示意图</w:t>
      </w:r>
    </w:p>
    <w:p>
      <w:pPr>
        <w:pStyle w:val="54"/>
        <w:rPr>
          <w:rFonts w:eastAsia="仿宋"/>
          <w:bCs/>
          <w:color w:val="auto"/>
          <w:szCs w:val="18"/>
          <w:highlight w:val="none"/>
        </w:rPr>
      </w:pPr>
      <w:r>
        <w:rPr>
          <w:rFonts w:eastAsia="仿宋"/>
          <w:bCs/>
          <w:i/>
          <w:iCs/>
          <w:color w:val="auto"/>
          <w:szCs w:val="18"/>
          <w:highlight w:val="none"/>
        </w:rPr>
        <w:t>W</w:t>
      </w:r>
      <w:r>
        <w:rPr>
          <w:rFonts w:eastAsia="仿宋"/>
          <w:bCs/>
          <w:color w:val="auto"/>
          <w:szCs w:val="18"/>
          <w:highlight w:val="none"/>
        </w:rPr>
        <w:t>—模块单元外轮廓长度；</w:t>
      </w:r>
      <w:r>
        <w:rPr>
          <w:rFonts w:eastAsia="仿宋"/>
          <w:bCs/>
          <w:i/>
          <w:iCs/>
          <w:color w:val="auto"/>
          <w:szCs w:val="18"/>
          <w:highlight w:val="none"/>
        </w:rPr>
        <w:t>L</w:t>
      </w:r>
      <w:r>
        <w:rPr>
          <w:rFonts w:eastAsia="仿宋"/>
          <w:bCs/>
          <w:color w:val="auto"/>
          <w:szCs w:val="18"/>
          <w:highlight w:val="none"/>
        </w:rPr>
        <w:t>—模块单元外轮廓宽度；</w:t>
      </w:r>
      <w:r>
        <w:rPr>
          <w:rFonts w:eastAsia="仿宋"/>
          <w:bCs/>
          <w:i/>
          <w:iCs/>
          <w:color w:val="auto"/>
          <w:szCs w:val="18"/>
          <w:highlight w:val="none"/>
        </w:rPr>
        <w:t>△</w:t>
      </w:r>
      <w:r>
        <w:rPr>
          <w:rFonts w:eastAsia="仿宋"/>
          <w:bCs/>
          <w:color w:val="auto"/>
          <w:szCs w:val="18"/>
          <w:highlight w:val="none"/>
        </w:rPr>
        <w:t>—相邻模块单元最外缘结构外皮间隙距离</w:t>
      </w:r>
    </w:p>
    <w:p>
      <w:pPr>
        <w:pStyle w:val="54"/>
        <w:rPr>
          <w:rFonts w:eastAsia="仿宋"/>
          <w:bCs/>
          <w:color w:val="auto"/>
          <w:szCs w:val="18"/>
          <w:highlight w:val="none"/>
        </w:rPr>
      </w:pPr>
      <w:r>
        <w:rPr>
          <w:rFonts w:eastAsia="仿宋"/>
          <w:bCs/>
          <w:color w:val="auto"/>
          <w:szCs w:val="18"/>
          <w:highlight w:val="none"/>
        </w:rPr>
        <w:t>1—模块单元；2—模块单元墙体建筑面层外边线</w:t>
      </w:r>
    </w:p>
    <w:p>
      <w:pPr>
        <w:snapToGrid w:val="0"/>
        <w:jc w:val="center"/>
        <w:rPr>
          <w:color w:val="auto"/>
          <w:highlight w:val="none"/>
        </w:rPr>
      </w:pPr>
      <w:r>
        <w:rPr>
          <w:color w:val="auto"/>
          <w:highlight w:val="none"/>
        </w:rPr>
        <w:drawing>
          <wp:inline distT="0" distB="0" distL="114300" distR="114300">
            <wp:extent cx="2276475" cy="2160270"/>
            <wp:effectExtent l="0" t="0" r="9525" b="381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9"/>
                    <a:stretch>
                      <a:fillRect/>
                    </a:stretch>
                  </pic:blipFill>
                  <pic:spPr>
                    <a:xfrm>
                      <a:off x="0" y="0"/>
                      <a:ext cx="2276475" cy="2160270"/>
                    </a:xfrm>
                    <a:prstGeom prst="rect">
                      <a:avLst/>
                    </a:prstGeom>
                    <a:noFill/>
                    <a:ln>
                      <a:noFill/>
                    </a:ln>
                  </pic:spPr>
                </pic:pic>
              </a:graphicData>
            </a:graphic>
          </wp:inline>
        </w:drawing>
      </w:r>
    </w:p>
    <w:p>
      <w:pPr>
        <w:pStyle w:val="54"/>
        <w:rPr>
          <w:rFonts w:eastAsia="仿宋"/>
          <w:b/>
          <w:bCs/>
          <w:color w:val="auto"/>
          <w:sz w:val="21"/>
          <w:szCs w:val="24"/>
          <w:highlight w:val="none"/>
        </w:rPr>
      </w:pPr>
      <w:r>
        <w:rPr>
          <w:rFonts w:eastAsia="仿宋"/>
          <w:b/>
          <w:bCs/>
          <w:color w:val="auto"/>
          <w:sz w:val="21"/>
          <w:szCs w:val="24"/>
          <w:highlight w:val="none"/>
        </w:rPr>
        <w:t>图4</w:t>
      </w:r>
      <w:r>
        <w:rPr>
          <w:rFonts w:hint="eastAsia" w:ascii="仿宋" w:hAnsi="仿宋" w:eastAsia="仿宋" w:cs="仿宋"/>
          <w:b/>
          <w:bCs/>
          <w:color w:val="auto"/>
          <w:sz w:val="21"/>
          <w:szCs w:val="24"/>
          <w:highlight w:val="none"/>
        </w:rPr>
        <w:t>.</w:t>
      </w:r>
      <w:r>
        <w:rPr>
          <w:rFonts w:eastAsia="仿宋"/>
          <w:b/>
          <w:bCs/>
          <w:color w:val="auto"/>
          <w:sz w:val="21"/>
          <w:szCs w:val="24"/>
          <w:highlight w:val="none"/>
        </w:rPr>
        <w:t>2</w:t>
      </w:r>
      <w:r>
        <w:rPr>
          <w:rFonts w:hint="eastAsia" w:ascii="仿宋" w:hAnsi="仿宋" w:eastAsia="仿宋" w:cs="仿宋"/>
          <w:b/>
          <w:bCs/>
          <w:color w:val="auto"/>
          <w:sz w:val="21"/>
          <w:szCs w:val="24"/>
          <w:highlight w:val="none"/>
        </w:rPr>
        <w:t>.</w:t>
      </w:r>
      <w:r>
        <w:rPr>
          <w:rFonts w:eastAsia="仿宋"/>
          <w:b/>
          <w:bCs/>
          <w:color w:val="auto"/>
          <w:sz w:val="21"/>
          <w:szCs w:val="24"/>
          <w:highlight w:val="none"/>
        </w:rPr>
        <w:t>4-(b)  模块化</w:t>
      </w:r>
      <w:r>
        <w:rPr>
          <w:rFonts w:hint="eastAsia" w:eastAsia="仿宋"/>
          <w:b/>
          <w:bCs/>
          <w:color w:val="auto"/>
          <w:sz w:val="21"/>
          <w:szCs w:val="24"/>
          <w:highlight w:val="none"/>
        </w:rPr>
        <w:t>剪力墙、箱模结构</w:t>
      </w:r>
      <w:r>
        <w:rPr>
          <w:rFonts w:eastAsia="仿宋"/>
          <w:b/>
          <w:bCs/>
          <w:color w:val="auto"/>
          <w:sz w:val="21"/>
          <w:szCs w:val="24"/>
          <w:highlight w:val="none"/>
        </w:rPr>
        <w:t>中模块单元的定位轴线示意图</w:t>
      </w:r>
    </w:p>
    <w:p>
      <w:pPr>
        <w:pStyle w:val="54"/>
        <w:rPr>
          <w:rFonts w:eastAsia="仿宋"/>
          <w:bCs/>
          <w:color w:val="auto"/>
          <w:highlight w:val="none"/>
        </w:rPr>
      </w:pPr>
      <w:r>
        <w:rPr>
          <w:rFonts w:eastAsia="仿宋"/>
          <w:bCs/>
          <w:i/>
          <w:iCs/>
          <w:color w:val="auto"/>
          <w:highlight w:val="none"/>
        </w:rPr>
        <w:t>W</w:t>
      </w:r>
      <w:r>
        <w:rPr>
          <w:rFonts w:eastAsia="仿宋"/>
          <w:bCs/>
          <w:i/>
          <w:iCs/>
          <w:color w:val="auto"/>
          <w:highlight w:val="none"/>
          <w:vertAlign w:val="subscript"/>
        </w:rPr>
        <w:t>a</w:t>
      </w:r>
      <w:r>
        <w:rPr>
          <w:rFonts w:eastAsia="仿宋"/>
          <w:bCs/>
          <w:color w:val="auto"/>
          <w:highlight w:val="none"/>
        </w:rPr>
        <w:t>—横向中心线间距；</w:t>
      </w:r>
      <w:r>
        <w:rPr>
          <w:rFonts w:eastAsia="仿宋"/>
          <w:bCs/>
          <w:i/>
          <w:iCs/>
          <w:color w:val="auto"/>
          <w:highlight w:val="none"/>
        </w:rPr>
        <w:t>L</w:t>
      </w:r>
      <w:r>
        <w:rPr>
          <w:rFonts w:eastAsia="仿宋"/>
          <w:bCs/>
          <w:i/>
          <w:iCs/>
          <w:color w:val="auto"/>
          <w:highlight w:val="none"/>
          <w:vertAlign w:val="subscript"/>
        </w:rPr>
        <w:t>a</w:t>
      </w:r>
      <w:r>
        <w:rPr>
          <w:rFonts w:eastAsia="仿宋"/>
          <w:bCs/>
          <w:color w:val="auto"/>
          <w:highlight w:val="none"/>
        </w:rPr>
        <w:t>—竖向中心线间距；</w:t>
      </w:r>
    </w:p>
    <w:p>
      <w:pPr>
        <w:pStyle w:val="54"/>
        <w:rPr>
          <w:rFonts w:eastAsia="仿宋"/>
          <w:bCs/>
          <w:color w:val="auto"/>
          <w:highlight w:val="none"/>
        </w:rPr>
      </w:pPr>
      <w:r>
        <w:rPr>
          <w:rFonts w:eastAsia="仿宋"/>
          <w:bCs/>
          <w:color w:val="auto"/>
          <w:highlight w:val="none"/>
        </w:rPr>
        <w:t>1—模块单元；2—模块单元墙体建筑面层内边线</w:t>
      </w:r>
    </w:p>
    <w:p>
      <w:pPr>
        <w:numPr>
          <w:ilvl w:val="0"/>
          <w:numId w:val="7"/>
        </w:numPr>
        <w:rPr>
          <w:color w:val="auto"/>
          <w:highlight w:val="none"/>
        </w:rPr>
      </w:pPr>
      <w:r>
        <w:rPr>
          <w:rFonts w:hint="eastAsia"/>
          <w:color w:val="auto"/>
          <w:highlight w:val="none"/>
        </w:rPr>
        <w:t>混凝土模块化建筑在进行立面设计时，其建筑层高定位基准面应设置在模块单元的建筑完成面顶面。建筑层高为</w:t>
      </w:r>
      <w:r>
        <w:rPr>
          <w:rFonts w:hint="eastAsia"/>
          <w:color w:val="auto"/>
          <w:kern w:val="0"/>
          <w:highlight w:val="none"/>
        </w:rPr>
        <w:t>下层模块单元室内建筑完成面至上层模块单元室内建筑完成面之间的高度（图4.2.5）。</w:t>
      </w:r>
    </w:p>
    <w:p>
      <w:pPr>
        <w:pStyle w:val="54"/>
        <w:snapToGrid w:val="0"/>
        <w:rPr>
          <w:rFonts w:eastAsia="楷体"/>
          <w:color w:val="auto"/>
          <w:szCs w:val="24"/>
          <w:highlight w:val="none"/>
        </w:rPr>
      </w:pPr>
      <w:r>
        <w:rPr>
          <w:color w:val="auto"/>
          <w:highlight w:val="none"/>
        </w:rPr>
        <w:drawing>
          <wp:inline distT="0" distB="0" distL="114300" distR="114300">
            <wp:extent cx="2127885" cy="2546350"/>
            <wp:effectExtent l="0" t="0" r="5715" b="13970"/>
            <wp:docPr id="8" name="图片 26" descr="E:\桌面\田林路 65 弄旧住房拆除重建项目\1121\送审稿\图修改\钢结构模块化导则配图_recover-Model1\钢结构模块化导则配图_recover-Model1_00.png钢结构模块化导则配图_recover-Model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6" descr="E:\桌面\田林路 65 弄旧住房拆除重建项目\1121\送审稿\图修改\钢结构模块化导则配图_recover-Model1\钢结构模块化导则配图_recover-Model1_00.png钢结构模块化导则配图_recover-Model1_00"/>
                    <pic:cNvPicPr>
                      <a:picLocks noChangeAspect="1"/>
                    </pic:cNvPicPr>
                  </pic:nvPicPr>
                  <pic:blipFill>
                    <a:blip r:embed="rId20"/>
                    <a:stretch>
                      <a:fillRect/>
                    </a:stretch>
                  </pic:blipFill>
                  <pic:spPr>
                    <a:xfrm>
                      <a:off x="0" y="0"/>
                      <a:ext cx="2127885" cy="2546350"/>
                    </a:xfrm>
                    <a:prstGeom prst="rect">
                      <a:avLst/>
                    </a:prstGeom>
                    <a:noFill/>
                    <a:ln>
                      <a:noFill/>
                    </a:ln>
                  </pic:spPr>
                </pic:pic>
              </a:graphicData>
            </a:graphic>
          </wp:inline>
        </w:drawing>
      </w:r>
    </w:p>
    <w:p>
      <w:pPr>
        <w:pStyle w:val="54"/>
        <w:rPr>
          <w:rFonts w:eastAsia="仿宋"/>
          <w:b/>
          <w:bCs/>
          <w:color w:val="auto"/>
          <w:sz w:val="21"/>
          <w:szCs w:val="24"/>
          <w:highlight w:val="none"/>
        </w:rPr>
      </w:pPr>
      <w:r>
        <w:rPr>
          <w:rFonts w:eastAsia="仿宋"/>
          <w:b/>
          <w:bCs/>
          <w:color w:val="auto"/>
          <w:sz w:val="21"/>
          <w:szCs w:val="24"/>
          <w:highlight w:val="none"/>
        </w:rPr>
        <w:t>图4</w:t>
      </w:r>
      <w:r>
        <w:rPr>
          <w:rFonts w:hint="eastAsia" w:ascii="仿宋" w:hAnsi="仿宋" w:eastAsia="仿宋" w:cs="仿宋"/>
          <w:b/>
          <w:bCs/>
          <w:color w:val="auto"/>
          <w:sz w:val="21"/>
          <w:szCs w:val="24"/>
          <w:highlight w:val="none"/>
        </w:rPr>
        <w:t>.</w:t>
      </w:r>
      <w:r>
        <w:rPr>
          <w:rFonts w:eastAsia="仿宋"/>
          <w:b/>
          <w:bCs/>
          <w:color w:val="auto"/>
          <w:sz w:val="21"/>
          <w:szCs w:val="24"/>
          <w:highlight w:val="none"/>
        </w:rPr>
        <w:t>2</w:t>
      </w:r>
      <w:r>
        <w:rPr>
          <w:rFonts w:hint="eastAsia" w:ascii="仿宋" w:hAnsi="仿宋" w:eastAsia="仿宋" w:cs="仿宋"/>
          <w:b/>
          <w:bCs/>
          <w:color w:val="auto"/>
          <w:sz w:val="21"/>
          <w:szCs w:val="24"/>
          <w:highlight w:val="none"/>
        </w:rPr>
        <w:t>.</w:t>
      </w:r>
      <w:r>
        <w:rPr>
          <w:rFonts w:eastAsia="仿宋"/>
          <w:b/>
          <w:bCs/>
          <w:color w:val="auto"/>
          <w:sz w:val="21"/>
          <w:szCs w:val="24"/>
          <w:highlight w:val="none"/>
        </w:rPr>
        <w:t>5-(a)  模块化框架结构竖向布置及建筑层高</w:t>
      </w:r>
    </w:p>
    <w:p>
      <w:pPr>
        <w:pStyle w:val="54"/>
        <w:rPr>
          <w:rFonts w:eastAsia="仿宋"/>
          <w:color w:val="auto"/>
          <w:szCs w:val="18"/>
          <w:highlight w:val="none"/>
        </w:rPr>
      </w:pPr>
      <w:r>
        <w:rPr>
          <w:rFonts w:eastAsia="仿宋"/>
          <w:color w:val="auto"/>
          <w:szCs w:val="18"/>
          <w:highlight w:val="none"/>
        </w:rPr>
        <w:t>H—标准层层高；H</w:t>
      </w:r>
      <w:r>
        <w:rPr>
          <w:rFonts w:eastAsia="仿宋"/>
          <w:color w:val="auto"/>
          <w:szCs w:val="18"/>
          <w:highlight w:val="none"/>
          <w:vertAlign w:val="subscript"/>
        </w:rPr>
        <w:t>D</w:t>
      </w:r>
      <w:r>
        <w:rPr>
          <w:rFonts w:eastAsia="仿宋"/>
          <w:color w:val="auto"/>
          <w:szCs w:val="18"/>
          <w:highlight w:val="none"/>
        </w:rPr>
        <w:t>—顶层层高；H</w:t>
      </w:r>
      <w:r>
        <w:rPr>
          <w:rFonts w:eastAsia="仿宋"/>
          <w:color w:val="auto"/>
          <w:szCs w:val="18"/>
          <w:highlight w:val="none"/>
          <w:vertAlign w:val="subscript"/>
        </w:rPr>
        <w:t>1</w:t>
      </w:r>
      <w:r>
        <w:rPr>
          <w:rFonts w:eastAsia="仿宋"/>
          <w:color w:val="auto"/>
          <w:szCs w:val="18"/>
          <w:highlight w:val="none"/>
        </w:rPr>
        <w:t>—模块单元高度；H</w:t>
      </w:r>
      <w:r>
        <w:rPr>
          <w:rFonts w:hint="eastAsia" w:eastAsia="仿宋"/>
          <w:color w:val="auto"/>
          <w:szCs w:val="18"/>
          <w:highlight w:val="none"/>
          <w:vertAlign w:val="subscript"/>
        </w:rPr>
        <w:t>2</w:t>
      </w:r>
      <w:r>
        <w:rPr>
          <w:rFonts w:eastAsia="仿宋"/>
          <w:color w:val="auto"/>
          <w:szCs w:val="18"/>
          <w:highlight w:val="none"/>
        </w:rPr>
        <w:t>—</w:t>
      </w:r>
      <w:r>
        <w:rPr>
          <w:rFonts w:hint="eastAsia" w:eastAsia="仿宋"/>
          <w:color w:val="auto"/>
          <w:szCs w:val="18"/>
          <w:highlight w:val="none"/>
        </w:rPr>
        <w:t>顶层</w:t>
      </w:r>
      <w:r>
        <w:rPr>
          <w:rFonts w:eastAsia="仿宋"/>
          <w:color w:val="auto"/>
          <w:szCs w:val="18"/>
          <w:highlight w:val="none"/>
        </w:rPr>
        <w:t>模块单元高度；H</w:t>
      </w:r>
      <w:r>
        <w:rPr>
          <w:rFonts w:hint="eastAsia" w:eastAsia="仿宋"/>
          <w:color w:val="auto"/>
          <w:szCs w:val="18"/>
          <w:highlight w:val="none"/>
          <w:vertAlign w:val="subscript"/>
        </w:rPr>
        <w:t>3</w:t>
      </w:r>
      <w:r>
        <w:rPr>
          <w:rFonts w:eastAsia="仿宋"/>
          <w:color w:val="auto"/>
          <w:szCs w:val="18"/>
          <w:highlight w:val="none"/>
        </w:rPr>
        <w:t xml:space="preserve">—混凝土模块化建筑室内净高；B—单个模块单元基本平面尺寸宽度； </w:t>
      </w:r>
    </w:p>
    <w:p>
      <w:pPr>
        <w:pStyle w:val="54"/>
        <w:rPr>
          <w:rFonts w:eastAsia="仿宋"/>
          <w:color w:val="auto"/>
          <w:szCs w:val="18"/>
          <w:highlight w:val="none"/>
        </w:rPr>
      </w:pPr>
      <w:r>
        <w:rPr>
          <w:rFonts w:eastAsia="仿宋"/>
          <w:color w:val="auto"/>
          <w:szCs w:val="18"/>
          <w:highlight w:val="none"/>
        </w:rPr>
        <w:t>1—吊顶；2建筑楼面面层完成面</w:t>
      </w:r>
    </w:p>
    <w:p>
      <w:pPr>
        <w:autoSpaceDE w:val="0"/>
        <w:autoSpaceDN w:val="0"/>
        <w:adjustRightInd w:val="0"/>
        <w:jc w:val="center"/>
        <w:rPr>
          <w:rFonts w:hint="eastAsia" w:ascii="黑体" w:hAnsi="黑体" w:eastAsia="黑体"/>
          <w:color w:val="auto"/>
          <w:kern w:val="0"/>
          <w:sz w:val="18"/>
          <w:szCs w:val="21"/>
          <w:highlight w:val="none"/>
        </w:rPr>
      </w:pPr>
      <w:r>
        <w:rPr>
          <w:color w:val="auto"/>
          <w:highlight w:val="none"/>
        </w:rPr>
        <w:drawing>
          <wp:inline distT="0" distB="0" distL="114300" distR="114300">
            <wp:extent cx="2215515" cy="2635885"/>
            <wp:effectExtent l="0" t="0" r="9525" b="635"/>
            <wp:docPr id="9" name="图片 27" descr="E:\桌面\田林路 65 弄旧住房拆除重建项目\1121\送审稿\图修改\钢结构模块化导则配图_recover-Model2\钢结构模块化导则配图_recover-Model2_00.png钢结构模块化导则配图_recover-Model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7" descr="E:\桌面\田林路 65 弄旧住房拆除重建项目\1121\送审稿\图修改\钢结构模块化导则配图_recover-Model2\钢结构模块化导则配图_recover-Model2_00.png钢结构模块化导则配图_recover-Model2_00"/>
                    <pic:cNvPicPr>
                      <a:picLocks noChangeAspect="1"/>
                    </pic:cNvPicPr>
                  </pic:nvPicPr>
                  <pic:blipFill>
                    <a:blip r:embed="rId21"/>
                    <a:stretch>
                      <a:fillRect/>
                    </a:stretch>
                  </pic:blipFill>
                  <pic:spPr>
                    <a:xfrm>
                      <a:off x="0" y="0"/>
                      <a:ext cx="2215515" cy="2635885"/>
                    </a:xfrm>
                    <a:prstGeom prst="rect">
                      <a:avLst/>
                    </a:prstGeom>
                    <a:noFill/>
                    <a:ln>
                      <a:noFill/>
                    </a:ln>
                  </pic:spPr>
                </pic:pic>
              </a:graphicData>
            </a:graphic>
          </wp:inline>
        </w:drawing>
      </w:r>
    </w:p>
    <w:p>
      <w:pPr>
        <w:pStyle w:val="54"/>
        <w:rPr>
          <w:rFonts w:eastAsia="仿宋"/>
          <w:b/>
          <w:bCs/>
          <w:color w:val="auto"/>
          <w:sz w:val="21"/>
          <w:szCs w:val="24"/>
          <w:highlight w:val="none"/>
        </w:rPr>
      </w:pPr>
      <w:r>
        <w:rPr>
          <w:rFonts w:eastAsia="仿宋"/>
          <w:b/>
          <w:bCs/>
          <w:color w:val="auto"/>
          <w:sz w:val="21"/>
          <w:szCs w:val="24"/>
          <w:highlight w:val="none"/>
        </w:rPr>
        <w:t>图4</w:t>
      </w:r>
      <w:r>
        <w:rPr>
          <w:rFonts w:hint="eastAsia" w:ascii="仿宋" w:hAnsi="仿宋" w:eastAsia="仿宋" w:cs="仿宋"/>
          <w:b/>
          <w:bCs/>
          <w:color w:val="auto"/>
          <w:sz w:val="21"/>
          <w:szCs w:val="24"/>
          <w:highlight w:val="none"/>
        </w:rPr>
        <w:t>.</w:t>
      </w:r>
      <w:r>
        <w:rPr>
          <w:rFonts w:eastAsia="仿宋"/>
          <w:b/>
          <w:bCs/>
          <w:color w:val="auto"/>
          <w:sz w:val="21"/>
          <w:szCs w:val="24"/>
          <w:highlight w:val="none"/>
        </w:rPr>
        <w:t>2</w:t>
      </w:r>
      <w:r>
        <w:rPr>
          <w:rFonts w:hint="eastAsia" w:ascii="仿宋" w:hAnsi="仿宋" w:eastAsia="仿宋" w:cs="仿宋"/>
          <w:b/>
          <w:bCs/>
          <w:color w:val="auto"/>
          <w:sz w:val="21"/>
          <w:szCs w:val="24"/>
          <w:highlight w:val="none"/>
        </w:rPr>
        <w:t>.</w:t>
      </w:r>
      <w:r>
        <w:rPr>
          <w:rFonts w:eastAsia="仿宋"/>
          <w:b/>
          <w:bCs/>
          <w:color w:val="auto"/>
          <w:sz w:val="21"/>
          <w:szCs w:val="24"/>
          <w:highlight w:val="none"/>
        </w:rPr>
        <w:t>5-(b)  模块化</w:t>
      </w:r>
      <w:r>
        <w:rPr>
          <w:rFonts w:hint="eastAsia" w:eastAsia="仿宋"/>
          <w:b/>
          <w:bCs/>
          <w:color w:val="auto"/>
          <w:sz w:val="21"/>
          <w:szCs w:val="24"/>
          <w:highlight w:val="none"/>
        </w:rPr>
        <w:t>剪力墙、箱模结构</w:t>
      </w:r>
      <w:r>
        <w:rPr>
          <w:rFonts w:eastAsia="仿宋"/>
          <w:b/>
          <w:bCs/>
          <w:color w:val="auto"/>
          <w:sz w:val="21"/>
          <w:szCs w:val="24"/>
          <w:highlight w:val="none"/>
        </w:rPr>
        <w:t>竖向布置及建筑层高</w:t>
      </w:r>
    </w:p>
    <w:p>
      <w:pPr>
        <w:pStyle w:val="54"/>
        <w:rPr>
          <w:rFonts w:eastAsia="仿宋"/>
          <w:color w:val="auto"/>
          <w:highlight w:val="none"/>
        </w:rPr>
      </w:pPr>
      <w:r>
        <w:rPr>
          <w:rFonts w:eastAsia="仿宋"/>
          <w:color w:val="auto"/>
          <w:highlight w:val="none"/>
        </w:rPr>
        <w:t>H—标准层层高；H</w:t>
      </w:r>
      <w:r>
        <w:rPr>
          <w:rFonts w:eastAsia="仿宋"/>
          <w:color w:val="auto"/>
          <w:highlight w:val="none"/>
          <w:vertAlign w:val="subscript"/>
        </w:rPr>
        <w:t>D</w:t>
      </w:r>
      <w:r>
        <w:rPr>
          <w:rFonts w:eastAsia="仿宋"/>
          <w:color w:val="auto"/>
          <w:highlight w:val="none"/>
        </w:rPr>
        <w:t>—顶层层高；H</w:t>
      </w:r>
      <w:r>
        <w:rPr>
          <w:rFonts w:eastAsia="仿宋"/>
          <w:color w:val="auto"/>
          <w:highlight w:val="none"/>
          <w:vertAlign w:val="subscript"/>
        </w:rPr>
        <w:t>1</w:t>
      </w:r>
      <w:r>
        <w:rPr>
          <w:rFonts w:eastAsia="仿宋"/>
          <w:color w:val="auto"/>
          <w:highlight w:val="none"/>
        </w:rPr>
        <w:t>—模块单元高度；</w:t>
      </w:r>
      <w:r>
        <w:rPr>
          <w:rFonts w:eastAsia="仿宋"/>
          <w:color w:val="auto"/>
          <w:szCs w:val="18"/>
          <w:highlight w:val="none"/>
        </w:rPr>
        <w:t>H</w:t>
      </w:r>
      <w:r>
        <w:rPr>
          <w:rFonts w:hint="eastAsia" w:eastAsia="仿宋"/>
          <w:color w:val="auto"/>
          <w:szCs w:val="18"/>
          <w:highlight w:val="none"/>
          <w:vertAlign w:val="subscript"/>
        </w:rPr>
        <w:t>2</w:t>
      </w:r>
      <w:r>
        <w:rPr>
          <w:rFonts w:eastAsia="仿宋"/>
          <w:color w:val="auto"/>
          <w:szCs w:val="18"/>
          <w:highlight w:val="none"/>
        </w:rPr>
        <w:t>—</w:t>
      </w:r>
      <w:r>
        <w:rPr>
          <w:rFonts w:hint="eastAsia" w:eastAsia="仿宋"/>
          <w:color w:val="auto"/>
          <w:szCs w:val="18"/>
          <w:highlight w:val="none"/>
        </w:rPr>
        <w:t>顶层</w:t>
      </w:r>
      <w:r>
        <w:rPr>
          <w:rFonts w:eastAsia="仿宋"/>
          <w:color w:val="auto"/>
          <w:szCs w:val="18"/>
          <w:highlight w:val="none"/>
        </w:rPr>
        <w:t>模块单元高度；</w:t>
      </w:r>
      <w:r>
        <w:rPr>
          <w:rFonts w:eastAsia="仿宋"/>
          <w:color w:val="auto"/>
          <w:highlight w:val="none"/>
        </w:rPr>
        <w:t>H</w:t>
      </w:r>
      <w:r>
        <w:rPr>
          <w:rFonts w:hint="eastAsia" w:eastAsia="仿宋"/>
          <w:color w:val="auto"/>
          <w:highlight w:val="none"/>
          <w:vertAlign w:val="subscript"/>
        </w:rPr>
        <w:t>3</w:t>
      </w:r>
      <w:r>
        <w:rPr>
          <w:rFonts w:eastAsia="仿宋"/>
          <w:color w:val="auto"/>
          <w:highlight w:val="none"/>
        </w:rPr>
        <w:t>—混凝土模块化建筑室内净高；</w:t>
      </w:r>
      <w:r>
        <w:rPr>
          <w:rFonts w:eastAsia="仿宋"/>
          <w:i/>
          <w:iCs/>
          <w:color w:val="auto"/>
          <w:highlight w:val="none"/>
        </w:rPr>
        <w:t>△</w:t>
      </w:r>
      <w:r>
        <w:rPr>
          <w:rFonts w:eastAsia="仿宋"/>
          <w:color w:val="auto"/>
          <w:highlight w:val="none"/>
        </w:rPr>
        <w:t>—上下模块间空隙高度；B—单个模块单元基本平面尺寸宽度；</w:t>
      </w:r>
    </w:p>
    <w:p>
      <w:pPr>
        <w:pStyle w:val="54"/>
        <w:rPr>
          <w:rFonts w:eastAsia="仿宋"/>
          <w:color w:val="auto"/>
          <w:highlight w:val="none"/>
        </w:rPr>
      </w:pPr>
      <w:r>
        <w:rPr>
          <w:rFonts w:eastAsia="仿宋"/>
          <w:color w:val="auto"/>
          <w:highlight w:val="none"/>
        </w:rPr>
        <w:t>1—吊顶；</w:t>
      </w:r>
      <w:r>
        <w:rPr>
          <w:rFonts w:hint="eastAsia" w:eastAsia="仿宋"/>
          <w:color w:val="auto"/>
          <w:highlight w:val="none"/>
        </w:rPr>
        <w:t>2</w:t>
      </w:r>
      <w:r>
        <w:rPr>
          <w:rFonts w:eastAsia="仿宋"/>
          <w:color w:val="auto"/>
          <w:highlight w:val="none"/>
        </w:rPr>
        <w:t>—模块单元间隙；</w:t>
      </w:r>
      <w:r>
        <w:rPr>
          <w:rFonts w:hint="eastAsia" w:eastAsia="仿宋"/>
          <w:color w:val="auto"/>
          <w:highlight w:val="none"/>
        </w:rPr>
        <w:t>3</w:t>
      </w:r>
      <w:r>
        <w:rPr>
          <w:rFonts w:eastAsia="仿宋"/>
          <w:color w:val="auto"/>
          <w:highlight w:val="none"/>
        </w:rPr>
        <w:t>—建筑楼面面层完成面</w:t>
      </w:r>
    </w:p>
    <w:p>
      <w:pPr>
        <w:numPr>
          <w:ilvl w:val="0"/>
          <w:numId w:val="7"/>
        </w:numPr>
        <w:rPr>
          <w:color w:val="auto"/>
          <w:highlight w:val="none"/>
        </w:rPr>
      </w:pPr>
      <w:r>
        <w:rPr>
          <w:rFonts w:hint="eastAsia" w:eastAsia="宋体" w:cs="Times New Roman"/>
          <w:b w:val="0"/>
          <w:color w:val="auto"/>
          <w:kern w:val="2"/>
          <w:szCs w:val="21"/>
          <w:highlight w:val="none"/>
          <w:lang w:val="en-US" w:eastAsia="zh-CN" w:bidi="ar-SA"/>
        </w:rPr>
        <w:t>本导则适用的</w:t>
      </w:r>
      <w:r>
        <w:rPr>
          <w:rFonts w:hint="eastAsia"/>
          <w:color w:val="auto"/>
          <w:highlight w:val="none"/>
        </w:rPr>
        <w:t>模块单元外轮廓尺寸中长度不</w:t>
      </w:r>
      <w:r>
        <w:rPr>
          <w:rFonts w:hint="eastAsia"/>
          <w:color w:val="auto"/>
          <w:highlight w:val="none"/>
          <w:lang w:eastAsia="zh-CN"/>
        </w:rPr>
        <w:t>应</w:t>
      </w:r>
      <w:r>
        <w:rPr>
          <w:rFonts w:hint="eastAsia"/>
          <w:color w:val="auto"/>
          <w:highlight w:val="none"/>
        </w:rPr>
        <w:t>大于15m，宽度不</w:t>
      </w:r>
      <w:r>
        <w:rPr>
          <w:rFonts w:hint="eastAsia"/>
          <w:color w:val="auto"/>
          <w:highlight w:val="none"/>
          <w:lang w:eastAsia="zh-CN"/>
        </w:rPr>
        <w:t>应</w:t>
      </w:r>
      <w:r>
        <w:rPr>
          <w:rFonts w:hint="eastAsia"/>
          <w:color w:val="auto"/>
          <w:highlight w:val="none"/>
        </w:rPr>
        <w:t>大于3.75m，高度不</w:t>
      </w:r>
      <w:r>
        <w:rPr>
          <w:rFonts w:hint="eastAsia"/>
          <w:color w:val="auto"/>
          <w:highlight w:val="none"/>
          <w:lang w:eastAsia="zh-CN"/>
        </w:rPr>
        <w:t>应</w:t>
      </w:r>
      <w:r>
        <w:rPr>
          <w:rFonts w:hint="eastAsia"/>
          <w:color w:val="auto"/>
          <w:highlight w:val="none"/>
        </w:rPr>
        <w:t>大于4m。应满足市政道路及工地内临时场地运输限制要求，并按规定程序办理超限车辆运输行政许可。</w:t>
      </w:r>
    </w:p>
    <w:p>
      <w:pPr>
        <w:pStyle w:val="4"/>
        <w:rPr>
          <w:color w:val="auto"/>
          <w:highlight w:val="none"/>
        </w:rPr>
      </w:pPr>
      <w:bookmarkStart w:id="272" w:name="_Toc5133"/>
      <w:bookmarkStart w:id="273" w:name="_Toc22289"/>
      <w:bookmarkStart w:id="274" w:name="_Toc19108"/>
      <w:bookmarkStart w:id="275" w:name="_Toc17427"/>
      <w:bookmarkStart w:id="276" w:name="_Toc9066"/>
      <w:bookmarkStart w:id="277" w:name="_Toc23357"/>
      <w:bookmarkStart w:id="278" w:name="_Toc31594"/>
      <w:bookmarkStart w:id="279" w:name="_Toc10168"/>
      <w:bookmarkStart w:id="280" w:name="_Toc7191"/>
      <w:bookmarkStart w:id="281" w:name="_Toc8118"/>
      <w:bookmarkStart w:id="282" w:name="_Toc13320"/>
      <w:bookmarkStart w:id="283" w:name="_Toc25943"/>
      <w:bookmarkStart w:id="284" w:name="_Toc6126"/>
      <w:bookmarkStart w:id="285" w:name="_Toc14016"/>
      <w:bookmarkStart w:id="286" w:name="_Toc11922"/>
      <w:bookmarkStart w:id="287" w:name="_Toc8891"/>
      <w:bookmarkStart w:id="288" w:name="_Toc5247"/>
      <w:bookmarkStart w:id="289" w:name="_Toc9353"/>
      <w:bookmarkStart w:id="290" w:name="_Toc5138"/>
      <w:bookmarkStart w:id="291" w:name="_Toc16945"/>
      <w:bookmarkStart w:id="292" w:name="_Toc21590"/>
      <w:bookmarkStart w:id="293" w:name="_Toc24509"/>
      <w:bookmarkStart w:id="294" w:name="_Toc9816"/>
      <w:bookmarkStart w:id="295" w:name="_Toc32422"/>
      <w:bookmarkStart w:id="296" w:name="_Toc6793"/>
      <w:bookmarkStart w:id="297" w:name="_Toc25530"/>
      <w:bookmarkStart w:id="298" w:name="_Toc12315"/>
      <w:bookmarkStart w:id="299" w:name="_Toc26835"/>
      <w:bookmarkStart w:id="300" w:name="_Toc26450"/>
      <w:bookmarkStart w:id="301" w:name="_Toc7015"/>
      <w:bookmarkStart w:id="302" w:name="_Toc26902"/>
      <w:bookmarkStart w:id="303" w:name="_Toc15461"/>
      <w:bookmarkStart w:id="304" w:name="_Toc10703"/>
      <w:r>
        <w:rPr>
          <w:rFonts w:hint="eastAsia"/>
          <w:b/>
          <w:bCs w:val="0"/>
          <w:color w:val="auto"/>
          <w:highlight w:val="none"/>
        </w:rPr>
        <w:t>4</w:t>
      </w:r>
      <w:r>
        <w:rPr>
          <w:rFonts w:hint="eastAsia" w:ascii="宋体" w:hAnsi="宋体" w:eastAsia="宋体"/>
          <w:b/>
          <w:bCs w:val="0"/>
          <w:color w:val="auto"/>
          <w:szCs w:val="21"/>
          <w:highlight w:val="none"/>
        </w:rPr>
        <w:t>.</w:t>
      </w:r>
      <w:r>
        <w:rPr>
          <w:b/>
          <w:bCs w:val="0"/>
          <w:color w:val="auto"/>
          <w:highlight w:val="none"/>
        </w:rPr>
        <w:t>3</w:t>
      </w:r>
      <w:r>
        <w:rPr>
          <w:rFonts w:hint="eastAsia"/>
          <w:color w:val="auto"/>
          <w:highlight w:val="none"/>
        </w:rPr>
        <w:t xml:space="preserve">  建筑平面、立面设计</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pPr>
        <w:numPr>
          <w:ilvl w:val="0"/>
          <w:numId w:val="8"/>
        </w:numPr>
        <w:rPr>
          <w:color w:val="auto"/>
          <w:highlight w:val="none"/>
        </w:rPr>
      </w:pPr>
      <w:r>
        <w:rPr>
          <w:rFonts w:hint="eastAsia"/>
          <w:color w:val="auto"/>
          <w:highlight w:val="none"/>
        </w:rPr>
        <w:t>混凝土模块化建筑的立面设计应符合上海市的规划要求，外形应结合建设地区的城市风貌确定。</w:t>
      </w:r>
    </w:p>
    <w:p>
      <w:pPr>
        <w:numPr>
          <w:ilvl w:val="0"/>
          <w:numId w:val="8"/>
        </w:numPr>
        <w:rPr>
          <w:color w:val="auto"/>
          <w:highlight w:val="none"/>
        </w:rPr>
      </w:pPr>
      <w:r>
        <w:rPr>
          <w:rFonts w:hint="eastAsia"/>
          <w:color w:val="auto"/>
          <w:highlight w:val="none"/>
        </w:rPr>
        <w:t>混凝土模块化建筑的平面设计应符合下列规定：</w:t>
      </w:r>
    </w:p>
    <w:p>
      <w:pPr>
        <w:ind w:firstLine="440" w:firstLineChars="200"/>
        <w:rPr>
          <w:color w:val="auto"/>
          <w:szCs w:val="24"/>
          <w:highlight w:val="none"/>
        </w:rPr>
      </w:pPr>
      <w:bookmarkStart w:id="305" w:name="_Toc5368"/>
      <w:bookmarkStart w:id="306" w:name="_Toc32329"/>
      <w:r>
        <w:rPr>
          <w:rFonts w:eastAsia="黑体"/>
          <w:b/>
          <w:color w:val="auto"/>
          <w:highlight w:val="none"/>
        </w:rPr>
        <w:t xml:space="preserve">1  </w:t>
      </w:r>
      <w:r>
        <w:rPr>
          <w:color w:val="auto"/>
          <w:szCs w:val="24"/>
          <w:highlight w:val="none"/>
        </w:rPr>
        <w:t>平面设计宜简洁、规则</w:t>
      </w:r>
      <w:r>
        <w:rPr>
          <w:rFonts w:hint="eastAsia"/>
          <w:color w:val="auto"/>
          <w:szCs w:val="24"/>
          <w:highlight w:val="none"/>
        </w:rPr>
        <w:t>，</w:t>
      </w:r>
      <w:r>
        <w:rPr>
          <w:color w:val="auto"/>
          <w:kern w:val="0"/>
          <w:szCs w:val="24"/>
          <w:highlight w:val="none"/>
        </w:rPr>
        <w:t>模块划分形状宜规整</w:t>
      </w:r>
      <w:r>
        <w:rPr>
          <w:rFonts w:hint="eastAsia"/>
          <w:color w:val="auto"/>
          <w:kern w:val="0"/>
          <w:szCs w:val="24"/>
          <w:highlight w:val="none"/>
        </w:rPr>
        <w:t>；</w:t>
      </w:r>
      <w:bookmarkEnd w:id="305"/>
      <w:bookmarkEnd w:id="306"/>
    </w:p>
    <w:p>
      <w:pPr>
        <w:ind w:firstLine="440" w:firstLineChars="200"/>
        <w:rPr>
          <w:color w:val="auto"/>
          <w:highlight w:val="none"/>
        </w:rPr>
      </w:pPr>
      <w:r>
        <w:rPr>
          <w:rFonts w:hint="eastAsia" w:eastAsia="黑体"/>
          <w:b/>
          <w:color w:val="auto"/>
          <w:highlight w:val="none"/>
        </w:rPr>
        <w:t>2</w:t>
      </w:r>
      <w:r>
        <w:rPr>
          <w:rFonts w:eastAsia="黑体"/>
          <w:b/>
          <w:color w:val="auto"/>
          <w:highlight w:val="none"/>
        </w:rPr>
        <w:t xml:space="preserve">  </w:t>
      </w:r>
      <w:r>
        <w:rPr>
          <w:rFonts w:hint="eastAsia"/>
          <w:color w:val="auto"/>
          <w:highlight w:val="none"/>
        </w:rPr>
        <w:t>同一</w:t>
      </w:r>
      <w:r>
        <w:rPr>
          <w:color w:val="auto"/>
          <w:highlight w:val="none"/>
        </w:rPr>
        <w:t>功能区由多个模块</w:t>
      </w:r>
      <w:r>
        <w:rPr>
          <w:rFonts w:hint="eastAsia"/>
          <w:color w:val="auto"/>
          <w:highlight w:val="none"/>
        </w:rPr>
        <w:t>单元</w:t>
      </w:r>
      <w:r>
        <w:rPr>
          <w:color w:val="auto"/>
          <w:highlight w:val="none"/>
        </w:rPr>
        <w:t>组成时，功能区内的设备、门窗</w:t>
      </w:r>
      <w:r>
        <w:rPr>
          <w:rFonts w:hint="eastAsia"/>
          <w:color w:val="auto"/>
          <w:highlight w:val="none"/>
        </w:rPr>
        <w:t>、固定收纳等</w:t>
      </w:r>
      <w:r>
        <w:rPr>
          <w:color w:val="auto"/>
          <w:highlight w:val="none"/>
        </w:rPr>
        <w:t>不宜跨模块布置</w:t>
      </w:r>
      <w:r>
        <w:rPr>
          <w:rFonts w:hint="eastAsia"/>
          <w:color w:val="auto"/>
          <w:highlight w:val="none"/>
        </w:rPr>
        <w:t>；</w:t>
      </w:r>
    </w:p>
    <w:p>
      <w:pPr>
        <w:ind w:firstLine="440" w:firstLineChars="200"/>
        <w:rPr>
          <w:color w:val="auto"/>
          <w:highlight w:val="none"/>
        </w:rPr>
      </w:pPr>
      <w:r>
        <w:rPr>
          <w:rFonts w:hint="eastAsia"/>
          <w:b/>
          <w:color w:val="auto"/>
          <w:highlight w:val="none"/>
        </w:rPr>
        <w:t>3</w:t>
      </w:r>
      <w:r>
        <w:rPr>
          <w:b/>
          <w:color w:val="auto"/>
          <w:highlight w:val="none"/>
        </w:rPr>
        <w:t xml:space="preserve">  </w:t>
      </w:r>
      <w:r>
        <w:rPr>
          <w:color w:val="auto"/>
          <w:highlight w:val="none"/>
        </w:rPr>
        <w:t>楼梯间、电梯间、卫生间、厨房等具有</w:t>
      </w:r>
      <w:r>
        <w:rPr>
          <w:rFonts w:hint="eastAsia"/>
          <w:color w:val="auto"/>
          <w:highlight w:val="none"/>
        </w:rPr>
        <w:t>特定</w:t>
      </w:r>
      <w:r>
        <w:rPr>
          <w:color w:val="auto"/>
          <w:highlight w:val="none"/>
        </w:rPr>
        <w:t>功能</w:t>
      </w:r>
      <w:r>
        <w:rPr>
          <w:rFonts w:hint="eastAsia"/>
          <w:color w:val="auto"/>
          <w:highlight w:val="none"/>
        </w:rPr>
        <w:t>且</w:t>
      </w:r>
      <w:r>
        <w:rPr>
          <w:color w:val="auto"/>
          <w:highlight w:val="none"/>
        </w:rPr>
        <w:t>管线密集区域，宜采用</w:t>
      </w:r>
      <w:r>
        <w:rPr>
          <w:rFonts w:hint="eastAsia"/>
          <w:color w:val="auto"/>
          <w:highlight w:val="none"/>
        </w:rPr>
        <w:t>整体</w:t>
      </w:r>
      <w:r>
        <w:rPr>
          <w:color w:val="auto"/>
          <w:highlight w:val="none"/>
        </w:rPr>
        <w:t>模块单元；</w:t>
      </w:r>
    </w:p>
    <w:p>
      <w:pPr>
        <w:ind w:firstLine="440" w:firstLineChars="200"/>
        <w:rPr>
          <w:color w:val="auto"/>
          <w:highlight w:val="none"/>
        </w:rPr>
      </w:pPr>
      <w:r>
        <w:rPr>
          <w:rFonts w:hint="eastAsia" w:eastAsia="黑体"/>
          <w:b/>
          <w:color w:val="auto"/>
          <w:highlight w:val="none"/>
        </w:rPr>
        <w:t>4</w:t>
      </w:r>
      <w:r>
        <w:rPr>
          <w:rFonts w:eastAsia="黑体"/>
          <w:b/>
          <w:color w:val="auto"/>
          <w:highlight w:val="none"/>
        </w:rPr>
        <w:t xml:space="preserve">  </w:t>
      </w:r>
      <w:r>
        <w:rPr>
          <w:color w:val="auto"/>
          <w:highlight w:val="none"/>
        </w:rPr>
        <w:t>建筑平面设计时应考虑相邻模块单元</w:t>
      </w:r>
      <w:r>
        <w:rPr>
          <w:rFonts w:hint="eastAsia"/>
          <w:color w:val="auto"/>
          <w:highlight w:val="none"/>
        </w:rPr>
        <w:t>之间结构拆分</w:t>
      </w:r>
      <w:r>
        <w:rPr>
          <w:color w:val="auto"/>
          <w:highlight w:val="none"/>
        </w:rPr>
        <w:t>和设备管线的连接构造</w:t>
      </w:r>
      <w:r>
        <w:rPr>
          <w:rFonts w:hint="eastAsia"/>
          <w:color w:val="auto"/>
          <w:highlight w:val="none"/>
        </w:rPr>
        <w:t>，确保连接节点的标准化和通用性，模块单元间管线接口应集中设置。</w:t>
      </w:r>
    </w:p>
    <w:p>
      <w:pPr>
        <w:numPr>
          <w:ilvl w:val="0"/>
          <w:numId w:val="8"/>
        </w:numPr>
        <w:rPr>
          <w:color w:val="auto"/>
          <w:highlight w:val="none"/>
        </w:rPr>
      </w:pPr>
      <w:r>
        <w:rPr>
          <w:color w:val="auto"/>
          <w:szCs w:val="21"/>
          <w:highlight w:val="none"/>
        </w:rPr>
        <w:t>建筑方案设计可采用标准模块的多种组合形式</w:t>
      </w:r>
      <w:r>
        <w:rPr>
          <w:rFonts w:hint="eastAsia"/>
          <w:color w:val="auto"/>
          <w:szCs w:val="21"/>
          <w:highlight w:val="none"/>
        </w:rPr>
        <w:t>并根据建筑造型需要进行灵活调整</w:t>
      </w:r>
      <w:r>
        <w:rPr>
          <w:color w:val="auto"/>
          <w:szCs w:val="21"/>
          <w:highlight w:val="none"/>
        </w:rPr>
        <w:t>，以满足多样化的建筑功能需求。外立面的分割宜尽量与模块拼缝位置相协调，以提升建筑整体的美观性</w:t>
      </w:r>
      <w:r>
        <w:rPr>
          <w:color w:val="auto"/>
          <w:highlight w:val="none"/>
        </w:rPr>
        <w:t>。</w:t>
      </w:r>
    </w:p>
    <w:tbl>
      <w:tblPr>
        <w:tblStyle w:val="24"/>
        <w:tblW w:w="0" w:type="auto"/>
        <w:tblInd w:w="0" w:type="dxa"/>
        <w:tblLayout w:type="autofit"/>
        <w:tblCellMar>
          <w:top w:w="0" w:type="dxa"/>
          <w:left w:w="108" w:type="dxa"/>
          <w:bottom w:w="0" w:type="dxa"/>
          <w:right w:w="108" w:type="dxa"/>
        </w:tblCellMar>
      </w:tblPr>
      <w:tblGrid>
        <w:gridCol w:w="4862"/>
        <w:gridCol w:w="4392"/>
      </w:tblGrid>
      <w:tr>
        <w:tblPrEx>
          <w:tblCellMar>
            <w:top w:w="0" w:type="dxa"/>
            <w:left w:w="108" w:type="dxa"/>
            <w:bottom w:w="0" w:type="dxa"/>
            <w:right w:w="108" w:type="dxa"/>
          </w:tblCellMar>
        </w:tblPrEx>
        <w:trPr>
          <w:trHeight w:val="90" w:hRule="atLeast"/>
        </w:trPr>
        <w:tc>
          <w:tcPr>
            <w:tcW w:w="4862" w:type="dxa"/>
          </w:tcPr>
          <w:p>
            <w:pPr>
              <w:autoSpaceDE w:val="0"/>
              <w:autoSpaceDN w:val="0"/>
              <w:adjustRightInd w:val="0"/>
              <w:snapToGrid w:val="0"/>
              <w:jc w:val="center"/>
              <w:rPr>
                <w:rFonts w:eastAsia="仿宋"/>
                <w:color w:val="auto"/>
                <w:highlight w:val="none"/>
              </w:rPr>
            </w:pPr>
            <w:r>
              <w:rPr>
                <w:rFonts w:eastAsia="仿宋"/>
                <w:color w:val="auto"/>
                <w:highlight w:val="none"/>
              </w:rPr>
              <w:drawing>
                <wp:inline distT="0" distB="0" distL="114300" distR="114300">
                  <wp:extent cx="1358265" cy="1432560"/>
                  <wp:effectExtent l="0" t="0" r="13335" b="0"/>
                  <wp:docPr id="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pic:cNvPicPr>
                            <a:picLocks noChangeAspect="1"/>
                          </pic:cNvPicPr>
                        </pic:nvPicPr>
                        <pic:blipFill>
                          <a:blip r:embed="rId22"/>
                          <a:stretch>
                            <a:fillRect/>
                          </a:stretch>
                        </pic:blipFill>
                        <pic:spPr>
                          <a:xfrm>
                            <a:off x="0" y="0"/>
                            <a:ext cx="1358265" cy="1432560"/>
                          </a:xfrm>
                          <a:prstGeom prst="rect">
                            <a:avLst/>
                          </a:prstGeom>
                          <a:noFill/>
                          <a:ln>
                            <a:noFill/>
                          </a:ln>
                        </pic:spPr>
                      </pic:pic>
                    </a:graphicData>
                  </a:graphic>
                </wp:inline>
              </w:drawing>
            </w:r>
          </w:p>
        </w:tc>
        <w:tc>
          <w:tcPr>
            <w:tcW w:w="4392" w:type="dxa"/>
          </w:tcPr>
          <w:p>
            <w:pPr>
              <w:autoSpaceDE w:val="0"/>
              <w:autoSpaceDN w:val="0"/>
              <w:adjustRightInd w:val="0"/>
              <w:snapToGrid w:val="0"/>
              <w:jc w:val="center"/>
              <w:rPr>
                <w:rFonts w:eastAsia="仿宋"/>
                <w:color w:val="auto"/>
                <w:highlight w:val="none"/>
              </w:rPr>
            </w:pPr>
            <w:r>
              <w:rPr>
                <w:rFonts w:eastAsia="仿宋"/>
                <w:color w:val="auto"/>
                <w:highlight w:val="none"/>
              </w:rPr>
              <w:drawing>
                <wp:inline distT="0" distB="0" distL="114300" distR="114300">
                  <wp:extent cx="1402715" cy="1440180"/>
                  <wp:effectExtent l="0" t="0" r="14605" b="7620"/>
                  <wp:docPr id="11" name="图片 7" descr="E:\桌面\田林路 65 弄旧住房拆除重建项目\1121\征求意见稿\导则修改意见反馈\征求意见稿修复初稿\钢结构导则配图调整\组合方式\纵横式.png纵横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E:\桌面\田林路 65 弄旧住房拆除重建项目\1121\征求意见稿\导则修改意见反馈\征求意见稿修复初稿\钢结构导则配图调整\组合方式\纵横式.png纵横式"/>
                          <pic:cNvPicPr>
                            <a:picLocks noChangeAspect="1"/>
                          </pic:cNvPicPr>
                        </pic:nvPicPr>
                        <pic:blipFill>
                          <a:blip r:embed="rId23"/>
                          <a:stretch>
                            <a:fillRect/>
                          </a:stretch>
                        </pic:blipFill>
                        <pic:spPr>
                          <a:xfrm>
                            <a:off x="0" y="0"/>
                            <a:ext cx="1402715" cy="144018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90" w:hRule="atLeast"/>
        </w:trPr>
        <w:tc>
          <w:tcPr>
            <w:tcW w:w="4862" w:type="dxa"/>
          </w:tcPr>
          <w:p>
            <w:pPr>
              <w:autoSpaceDE w:val="0"/>
              <w:autoSpaceDN w:val="0"/>
              <w:adjustRightInd w:val="0"/>
              <w:snapToGrid w:val="0"/>
              <w:jc w:val="center"/>
              <w:rPr>
                <w:rFonts w:eastAsia="仿宋"/>
                <w:color w:val="auto"/>
                <w:highlight w:val="none"/>
              </w:rPr>
            </w:pPr>
            <w:r>
              <w:rPr>
                <w:rFonts w:eastAsia="仿宋"/>
                <w:color w:val="auto"/>
                <w:highlight w:val="none"/>
              </w:rPr>
              <w:t>(a)  排列式</w:t>
            </w:r>
          </w:p>
        </w:tc>
        <w:tc>
          <w:tcPr>
            <w:tcW w:w="4392" w:type="dxa"/>
          </w:tcPr>
          <w:p>
            <w:pPr>
              <w:autoSpaceDE w:val="0"/>
              <w:autoSpaceDN w:val="0"/>
              <w:adjustRightInd w:val="0"/>
              <w:snapToGrid w:val="0"/>
              <w:jc w:val="center"/>
              <w:rPr>
                <w:rFonts w:eastAsia="仿宋"/>
                <w:color w:val="auto"/>
                <w:highlight w:val="none"/>
              </w:rPr>
            </w:pPr>
            <w:r>
              <w:rPr>
                <w:rFonts w:eastAsia="仿宋"/>
                <w:color w:val="auto"/>
                <w:sz w:val="18"/>
                <w:szCs w:val="18"/>
                <w:highlight w:val="none"/>
              </w:rPr>
              <w:t>(b)  纵横式</w:t>
            </w:r>
          </w:p>
        </w:tc>
      </w:tr>
      <w:tr>
        <w:tblPrEx>
          <w:tblCellMar>
            <w:top w:w="0" w:type="dxa"/>
            <w:left w:w="108" w:type="dxa"/>
            <w:bottom w:w="0" w:type="dxa"/>
            <w:right w:w="108" w:type="dxa"/>
          </w:tblCellMar>
        </w:tblPrEx>
        <w:tc>
          <w:tcPr>
            <w:tcW w:w="4862" w:type="dxa"/>
          </w:tcPr>
          <w:p>
            <w:pPr>
              <w:adjustRightInd w:val="0"/>
              <w:snapToGrid w:val="0"/>
              <w:jc w:val="center"/>
              <w:rPr>
                <w:rFonts w:eastAsia="仿宋"/>
                <w:color w:val="auto"/>
                <w:highlight w:val="none"/>
              </w:rPr>
            </w:pPr>
            <w:r>
              <w:rPr>
                <w:rFonts w:eastAsia="仿宋"/>
                <w:color w:val="auto"/>
                <w:highlight w:val="none"/>
              </w:rPr>
              <w:drawing>
                <wp:inline distT="0" distB="0" distL="114300" distR="114300">
                  <wp:extent cx="1265555" cy="1440180"/>
                  <wp:effectExtent l="0" t="0" r="14605" b="7620"/>
                  <wp:docPr id="12" name="图片 18" descr="E:\桌面\田林路 65 弄旧住房拆除重建项目\1121\征求意见稿\导则修改意见反馈\征求意见稿修复初稿\钢结构导则配图调整\组合方式\底部大空间.png底部大空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8" descr="E:\桌面\田林路 65 弄旧住房拆除重建项目\1121\征求意见稿\导则修改意见反馈\征求意见稿修复初稿\钢结构导则配图调整\组合方式\底部大空间.png底部大空间"/>
                          <pic:cNvPicPr>
                            <a:picLocks noChangeAspect="1"/>
                          </pic:cNvPicPr>
                        </pic:nvPicPr>
                        <pic:blipFill>
                          <a:blip r:embed="rId24"/>
                          <a:stretch>
                            <a:fillRect/>
                          </a:stretch>
                        </pic:blipFill>
                        <pic:spPr>
                          <a:xfrm>
                            <a:off x="0" y="0"/>
                            <a:ext cx="1265555" cy="1440180"/>
                          </a:xfrm>
                          <a:prstGeom prst="rect">
                            <a:avLst/>
                          </a:prstGeom>
                          <a:noFill/>
                          <a:ln>
                            <a:noFill/>
                          </a:ln>
                        </pic:spPr>
                      </pic:pic>
                    </a:graphicData>
                  </a:graphic>
                </wp:inline>
              </w:drawing>
            </w:r>
          </w:p>
        </w:tc>
        <w:tc>
          <w:tcPr>
            <w:tcW w:w="4392" w:type="dxa"/>
          </w:tcPr>
          <w:p>
            <w:pPr>
              <w:adjustRightInd w:val="0"/>
              <w:snapToGrid w:val="0"/>
              <w:jc w:val="center"/>
              <w:rPr>
                <w:rFonts w:eastAsia="仿宋"/>
                <w:color w:val="auto"/>
                <w:highlight w:val="none"/>
              </w:rPr>
            </w:pPr>
            <w:r>
              <w:rPr>
                <w:rFonts w:eastAsia="仿宋"/>
                <w:color w:val="auto"/>
                <w:highlight w:val="none"/>
              </w:rPr>
              <w:drawing>
                <wp:inline distT="0" distB="0" distL="114300" distR="114300">
                  <wp:extent cx="1176655" cy="1440180"/>
                  <wp:effectExtent l="0" t="0" r="12065" b="7620"/>
                  <wp:docPr id="13" name="图片 19" descr="E:\桌面\田林路 65 弄旧住房拆除重建项目\1121\征求意见稿\导则修改意见反馈\征求意见稿修复初稿\钢结构导则配图调整\组合方式\立面凹凸式.png立面凹凸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E:\桌面\田林路 65 弄旧住房拆除重建项目\1121\征求意见稿\导则修改意见反馈\征求意见稿修复初稿\钢结构导则配图调整\组合方式\立面凹凸式.png立面凹凸式"/>
                          <pic:cNvPicPr>
                            <a:picLocks noChangeAspect="1"/>
                          </pic:cNvPicPr>
                        </pic:nvPicPr>
                        <pic:blipFill>
                          <a:blip r:embed="rId25"/>
                          <a:stretch>
                            <a:fillRect/>
                          </a:stretch>
                        </pic:blipFill>
                        <pic:spPr>
                          <a:xfrm>
                            <a:off x="0" y="0"/>
                            <a:ext cx="1176655" cy="1440180"/>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4862" w:type="dxa"/>
          </w:tcPr>
          <w:p>
            <w:pPr>
              <w:jc w:val="center"/>
              <w:rPr>
                <w:rFonts w:eastAsia="仿宋"/>
                <w:color w:val="auto"/>
                <w:sz w:val="18"/>
                <w:szCs w:val="18"/>
                <w:highlight w:val="none"/>
              </w:rPr>
            </w:pPr>
            <w:r>
              <w:rPr>
                <w:rFonts w:eastAsia="仿宋"/>
                <w:color w:val="auto"/>
                <w:sz w:val="18"/>
                <w:szCs w:val="18"/>
                <w:highlight w:val="none"/>
              </w:rPr>
              <w:t>(c)  底部大空间</w:t>
            </w:r>
            <w:r>
              <w:rPr>
                <w:rFonts w:hint="eastAsia" w:eastAsia="仿宋"/>
                <w:color w:val="auto"/>
                <w:sz w:val="18"/>
                <w:szCs w:val="18"/>
                <w:highlight w:val="none"/>
              </w:rPr>
              <w:t>（底部加强）</w:t>
            </w:r>
          </w:p>
        </w:tc>
        <w:tc>
          <w:tcPr>
            <w:tcW w:w="4392" w:type="dxa"/>
          </w:tcPr>
          <w:p>
            <w:pPr>
              <w:jc w:val="center"/>
              <w:rPr>
                <w:rFonts w:eastAsia="仿宋"/>
                <w:color w:val="auto"/>
                <w:sz w:val="18"/>
                <w:szCs w:val="18"/>
                <w:highlight w:val="none"/>
              </w:rPr>
            </w:pPr>
            <w:r>
              <w:rPr>
                <w:rFonts w:eastAsia="仿宋"/>
                <w:color w:val="auto"/>
                <w:sz w:val="18"/>
                <w:szCs w:val="18"/>
                <w:highlight w:val="none"/>
              </w:rPr>
              <w:t>(d)  立面凹凸</w:t>
            </w:r>
          </w:p>
        </w:tc>
      </w:tr>
      <w:tr>
        <w:tblPrEx>
          <w:tblCellMar>
            <w:top w:w="0" w:type="dxa"/>
            <w:left w:w="108" w:type="dxa"/>
            <w:bottom w:w="0" w:type="dxa"/>
            <w:right w:w="108" w:type="dxa"/>
          </w:tblCellMar>
        </w:tblPrEx>
        <w:tc>
          <w:tcPr>
            <w:tcW w:w="4862" w:type="dxa"/>
          </w:tcPr>
          <w:p>
            <w:pPr>
              <w:adjustRightInd w:val="0"/>
              <w:snapToGrid w:val="0"/>
              <w:jc w:val="center"/>
              <w:rPr>
                <w:rFonts w:eastAsia="仿宋"/>
                <w:color w:val="auto"/>
                <w:highlight w:val="none"/>
              </w:rPr>
            </w:pPr>
            <w:r>
              <w:rPr>
                <w:rFonts w:eastAsia="仿宋"/>
                <w:color w:val="auto"/>
                <w:highlight w:val="none"/>
              </w:rPr>
              <w:drawing>
                <wp:inline distT="0" distB="0" distL="114300" distR="114300">
                  <wp:extent cx="1649095" cy="1440180"/>
                  <wp:effectExtent l="0" t="0" r="12065" b="7620"/>
                  <wp:docPr id="14" name="图片 20" descr="E:\桌面\田林路 65 弄旧住房拆除重建项目\1121\征求意见稿\导则修改意见反馈\征求意见稿修复初稿\钢结构导则配图调整\组合方式\C字形.pngC字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E:\桌面\田林路 65 弄旧住房拆除重建项目\1121\征求意见稿\导则修改意见反馈\征求意见稿修复初稿\钢结构导则配图调整\组合方式\C字形.pngC字形"/>
                          <pic:cNvPicPr>
                            <a:picLocks noChangeAspect="1"/>
                          </pic:cNvPicPr>
                        </pic:nvPicPr>
                        <pic:blipFill>
                          <a:blip r:embed="rId26"/>
                          <a:stretch>
                            <a:fillRect/>
                          </a:stretch>
                        </pic:blipFill>
                        <pic:spPr>
                          <a:xfrm>
                            <a:off x="0" y="0"/>
                            <a:ext cx="1649095" cy="1440180"/>
                          </a:xfrm>
                          <a:prstGeom prst="rect">
                            <a:avLst/>
                          </a:prstGeom>
                          <a:noFill/>
                          <a:ln>
                            <a:noFill/>
                          </a:ln>
                        </pic:spPr>
                      </pic:pic>
                    </a:graphicData>
                  </a:graphic>
                </wp:inline>
              </w:drawing>
            </w:r>
          </w:p>
        </w:tc>
        <w:tc>
          <w:tcPr>
            <w:tcW w:w="4392" w:type="dxa"/>
          </w:tcPr>
          <w:p>
            <w:pPr>
              <w:adjustRightInd w:val="0"/>
              <w:snapToGrid w:val="0"/>
              <w:jc w:val="center"/>
              <w:rPr>
                <w:rFonts w:eastAsia="仿宋"/>
                <w:color w:val="auto"/>
                <w:highlight w:val="none"/>
              </w:rPr>
            </w:pPr>
            <w:r>
              <w:rPr>
                <w:rFonts w:eastAsia="仿宋"/>
                <w:color w:val="auto"/>
                <w:highlight w:val="none"/>
              </w:rPr>
              <w:drawing>
                <wp:inline distT="0" distB="0" distL="114300" distR="114300">
                  <wp:extent cx="1522095" cy="1440180"/>
                  <wp:effectExtent l="0" t="0" r="1905" b="7620"/>
                  <wp:docPr id="15" name="图片 11" descr="E:\桌面\田林路 65 弄旧住房拆除重建项目\1121\征求意见稿\导则修改意见反馈\征求意见稿修复初稿\钢结构导则配图调整\组合方式\回字形.png回字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E:\桌面\田林路 65 弄旧住房拆除重建项目\1121\征求意见稿\导则修改意见反馈\征求意见稿修复初稿\钢结构导则配图调整\组合方式\回字形.png回字形"/>
                          <pic:cNvPicPr>
                            <a:picLocks noChangeAspect="1"/>
                          </pic:cNvPicPr>
                        </pic:nvPicPr>
                        <pic:blipFill>
                          <a:blip r:embed="rId27"/>
                          <a:stretch>
                            <a:fillRect/>
                          </a:stretch>
                        </pic:blipFill>
                        <pic:spPr>
                          <a:xfrm>
                            <a:off x="0" y="0"/>
                            <a:ext cx="1522095" cy="1440180"/>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4862" w:type="dxa"/>
          </w:tcPr>
          <w:p>
            <w:pPr>
              <w:jc w:val="center"/>
              <w:rPr>
                <w:rFonts w:eastAsia="仿宋"/>
                <w:color w:val="auto"/>
                <w:sz w:val="18"/>
                <w:szCs w:val="18"/>
                <w:highlight w:val="none"/>
              </w:rPr>
            </w:pPr>
            <w:r>
              <w:rPr>
                <w:rFonts w:eastAsia="仿宋"/>
                <w:color w:val="auto"/>
                <w:sz w:val="18"/>
                <w:szCs w:val="18"/>
                <w:highlight w:val="none"/>
              </w:rPr>
              <w:t>(e)  C字形</w:t>
            </w:r>
          </w:p>
        </w:tc>
        <w:tc>
          <w:tcPr>
            <w:tcW w:w="4392" w:type="dxa"/>
          </w:tcPr>
          <w:p>
            <w:pPr>
              <w:jc w:val="center"/>
              <w:rPr>
                <w:rFonts w:eastAsia="仿宋"/>
                <w:color w:val="auto"/>
                <w:sz w:val="18"/>
                <w:szCs w:val="18"/>
                <w:highlight w:val="none"/>
              </w:rPr>
            </w:pPr>
            <w:r>
              <w:rPr>
                <w:rFonts w:eastAsia="仿宋"/>
                <w:color w:val="auto"/>
                <w:sz w:val="18"/>
                <w:szCs w:val="18"/>
                <w:highlight w:val="none"/>
              </w:rPr>
              <w:t xml:space="preserve">(f)  </w:t>
            </w:r>
            <w:r>
              <w:rPr>
                <w:rFonts w:hint="eastAsia" w:eastAsia="仿宋"/>
                <w:color w:val="auto"/>
                <w:sz w:val="18"/>
                <w:szCs w:val="18"/>
                <w:highlight w:val="none"/>
                <w:lang w:eastAsia="zh-CN"/>
              </w:rPr>
              <w:t>回字形</w:t>
            </w:r>
          </w:p>
        </w:tc>
      </w:tr>
      <w:tr>
        <w:tblPrEx>
          <w:tblCellMar>
            <w:top w:w="0" w:type="dxa"/>
            <w:left w:w="108" w:type="dxa"/>
            <w:bottom w:w="0" w:type="dxa"/>
            <w:right w:w="108" w:type="dxa"/>
          </w:tblCellMar>
        </w:tblPrEx>
        <w:tc>
          <w:tcPr>
            <w:tcW w:w="4862" w:type="dxa"/>
          </w:tcPr>
          <w:p>
            <w:pPr>
              <w:adjustRightInd w:val="0"/>
              <w:snapToGrid w:val="0"/>
              <w:jc w:val="center"/>
              <w:rPr>
                <w:rFonts w:eastAsia="仿宋"/>
                <w:i/>
                <w:iCs/>
                <w:color w:val="auto"/>
                <w:highlight w:val="none"/>
              </w:rPr>
            </w:pPr>
            <w:r>
              <w:rPr>
                <w:rFonts w:eastAsia="仿宋"/>
                <w:color w:val="auto"/>
                <w:highlight w:val="none"/>
              </w:rPr>
              <w:drawing>
                <wp:inline distT="0" distB="0" distL="114300" distR="114300">
                  <wp:extent cx="1659890" cy="1440180"/>
                  <wp:effectExtent l="0" t="0" r="1270" b="7620"/>
                  <wp:docPr id="16" name="图片 14" descr="E:\桌面\田林路 65 弄旧住房拆除重建项目\1121\征求意见稿\导则修改意见反馈\征求意见稿修复初稿\钢结构导则配图调整\组合方式\内廊式.png内廊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E:\桌面\田林路 65 弄旧住房拆除重建项目\1121\征求意见稿\导则修改意见反馈\征求意见稿修复初稿\钢结构导则配图调整\组合方式\内廊式.png内廊式"/>
                          <pic:cNvPicPr>
                            <a:picLocks noChangeAspect="1"/>
                          </pic:cNvPicPr>
                        </pic:nvPicPr>
                        <pic:blipFill>
                          <a:blip r:embed="rId28"/>
                          <a:stretch>
                            <a:fillRect/>
                          </a:stretch>
                        </pic:blipFill>
                        <pic:spPr>
                          <a:xfrm>
                            <a:off x="0" y="0"/>
                            <a:ext cx="1659890" cy="1440180"/>
                          </a:xfrm>
                          <a:prstGeom prst="rect">
                            <a:avLst/>
                          </a:prstGeom>
                          <a:noFill/>
                          <a:ln>
                            <a:noFill/>
                          </a:ln>
                        </pic:spPr>
                      </pic:pic>
                    </a:graphicData>
                  </a:graphic>
                </wp:inline>
              </w:drawing>
            </w:r>
          </w:p>
        </w:tc>
        <w:tc>
          <w:tcPr>
            <w:tcW w:w="4392" w:type="dxa"/>
          </w:tcPr>
          <w:p>
            <w:pPr>
              <w:adjustRightInd w:val="0"/>
              <w:snapToGrid w:val="0"/>
              <w:jc w:val="center"/>
              <w:rPr>
                <w:rFonts w:eastAsia="仿宋"/>
                <w:i/>
                <w:iCs/>
                <w:color w:val="auto"/>
                <w:highlight w:val="none"/>
              </w:rPr>
            </w:pPr>
            <w:r>
              <w:rPr>
                <w:rFonts w:eastAsia="仿宋"/>
                <w:color w:val="auto"/>
                <w:highlight w:val="none"/>
              </w:rPr>
              <w:drawing>
                <wp:inline distT="0" distB="0" distL="114300" distR="114300">
                  <wp:extent cx="1761490" cy="1440180"/>
                  <wp:effectExtent l="0" t="0" r="6350" b="7620"/>
                  <wp:docPr id="17" name="图片 15" descr="E:\桌面\田林路 65 弄旧住房拆除重建项目\1121\征求意见稿\导则修改意见反馈\征求意见稿修复初稿\钢结构导则配图调整\组合方式\外廊式.png外廊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E:\桌面\田林路 65 弄旧住房拆除重建项目\1121\征求意见稿\导则修改意见反馈\征求意见稿修复初稿\钢结构导则配图调整\组合方式\外廊式.png外廊式"/>
                          <pic:cNvPicPr>
                            <a:picLocks noChangeAspect="1"/>
                          </pic:cNvPicPr>
                        </pic:nvPicPr>
                        <pic:blipFill>
                          <a:blip r:embed="rId29"/>
                          <a:stretch>
                            <a:fillRect/>
                          </a:stretch>
                        </pic:blipFill>
                        <pic:spPr>
                          <a:xfrm>
                            <a:off x="0" y="0"/>
                            <a:ext cx="1761490" cy="1440180"/>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4862" w:type="dxa"/>
          </w:tcPr>
          <w:p>
            <w:pPr>
              <w:jc w:val="center"/>
              <w:rPr>
                <w:rFonts w:eastAsia="仿宋"/>
                <w:color w:val="auto"/>
                <w:sz w:val="18"/>
                <w:szCs w:val="18"/>
                <w:highlight w:val="none"/>
              </w:rPr>
            </w:pPr>
            <w:r>
              <w:rPr>
                <w:rFonts w:eastAsia="仿宋"/>
                <w:color w:val="auto"/>
                <w:sz w:val="18"/>
                <w:szCs w:val="18"/>
                <w:highlight w:val="none"/>
              </w:rPr>
              <w:t>(g)  内廊式</w:t>
            </w:r>
          </w:p>
        </w:tc>
        <w:tc>
          <w:tcPr>
            <w:tcW w:w="4392" w:type="dxa"/>
          </w:tcPr>
          <w:p>
            <w:pPr>
              <w:jc w:val="center"/>
              <w:rPr>
                <w:rFonts w:eastAsia="仿宋"/>
                <w:color w:val="auto"/>
                <w:sz w:val="18"/>
                <w:szCs w:val="18"/>
                <w:highlight w:val="none"/>
              </w:rPr>
            </w:pPr>
            <w:r>
              <w:rPr>
                <w:rFonts w:eastAsia="仿宋"/>
                <w:color w:val="auto"/>
                <w:sz w:val="18"/>
                <w:szCs w:val="18"/>
                <w:highlight w:val="none"/>
              </w:rPr>
              <w:t>(h)  外廊式</w:t>
            </w:r>
          </w:p>
        </w:tc>
      </w:tr>
    </w:tbl>
    <w:p>
      <w:pPr>
        <w:pStyle w:val="54"/>
        <w:rPr>
          <w:rFonts w:eastAsia="仿宋"/>
          <w:b/>
          <w:bCs/>
          <w:color w:val="auto"/>
          <w:sz w:val="21"/>
          <w:szCs w:val="24"/>
          <w:highlight w:val="none"/>
        </w:rPr>
      </w:pPr>
      <w:r>
        <w:rPr>
          <w:rFonts w:hint="eastAsia" w:eastAsia="仿宋"/>
          <w:b/>
          <w:bCs/>
          <w:color w:val="auto"/>
          <w:sz w:val="21"/>
          <w:szCs w:val="24"/>
          <w:highlight w:val="none"/>
        </w:rPr>
        <w:t>图</w:t>
      </w:r>
      <w:r>
        <w:rPr>
          <w:rFonts w:eastAsia="仿宋"/>
          <w:b/>
          <w:bCs/>
          <w:color w:val="auto"/>
          <w:sz w:val="21"/>
          <w:szCs w:val="24"/>
          <w:highlight w:val="none"/>
        </w:rPr>
        <w:t xml:space="preserve">4.3.3  </w:t>
      </w:r>
      <w:r>
        <w:rPr>
          <w:rFonts w:hint="eastAsia" w:eastAsia="仿宋"/>
          <w:b/>
          <w:bCs/>
          <w:color w:val="auto"/>
          <w:sz w:val="21"/>
          <w:szCs w:val="24"/>
          <w:highlight w:val="none"/>
        </w:rPr>
        <w:t>模块单元组合形式示意图</w:t>
      </w:r>
    </w:p>
    <w:p>
      <w:pPr>
        <w:numPr>
          <w:ilvl w:val="0"/>
          <w:numId w:val="8"/>
        </w:numPr>
        <w:rPr>
          <w:color w:val="auto"/>
          <w:highlight w:val="none"/>
        </w:rPr>
      </w:pPr>
      <w:bookmarkStart w:id="307" w:name="_Toc10024"/>
      <w:bookmarkStart w:id="308" w:name="_Toc13740"/>
      <w:r>
        <w:rPr>
          <w:rFonts w:hint="eastAsia"/>
          <w:color w:val="auto"/>
          <w:highlight w:val="none"/>
        </w:rPr>
        <w:t>混凝土模块化建筑采用幕墙时应符合下列规定：</w:t>
      </w:r>
      <w:bookmarkEnd w:id="307"/>
      <w:bookmarkEnd w:id="308"/>
    </w:p>
    <w:p>
      <w:pPr>
        <w:ind w:firstLine="440" w:firstLineChars="200"/>
        <w:rPr>
          <w:color w:val="auto"/>
          <w:highlight w:val="none"/>
        </w:rPr>
      </w:pPr>
      <w:r>
        <w:rPr>
          <w:b/>
          <w:color w:val="auto"/>
          <w:highlight w:val="none"/>
        </w:rPr>
        <w:t xml:space="preserve">1  </w:t>
      </w:r>
      <w:r>
        <w:rPr>
          <w:rFonts w:hint="eastAsia"/>
          <w:color w:val="auto"/>
          <w:highlight w:val="none"/>
        </w:rPr>
        <w:t>幕墙形式应根据建筑物的使用要求和外立面效果进行选择，宜采用单元式幕墙</w:t>
      </w:r>
      <w:r>
        <w:rPr>
          <w:color w:val="auto"/>
          <w:highlight w:val="none"/>
        </w:rPr>
        <w:t>；</w:t>
      </w:r>
    </w:p>
    <w:p>
      <w:pPr>
        <w:ind w:firstLine="440" w:firstLineChars="200"/>
        <w:rPr>
          <w:color w:val="auto"/>
          <w:highlight w:val="none"/>
        </w:rPr>
      </w:pPr>
      <w:bookmarkStart w:id="309" w:name="_Toc20706"/>
      <w:bookmarkStart w:id="310" w:name="_Toc16234"/>
      <w:r>
        <w:rPr>
          <w:rFonts w:hint="eastAsia"/>
          <w:b/>
          <w:color w:val="auto"/>
          <w:highlight w:val="none"/>
        </w:rPr>
        <w:t xml:space="preserve">2 </w:t>
      </w:r>
      <w:r>
        <w:rPr>
          <w:b/>
          <w:color w:val="auto"/>
          <w:highlight w:val="none"/>
        </w:rPr>
        <w:t xml:space="preserve"> </w:t>
      </w:r>
      <w:r>
        <w:rPr>
          <w:rFonts w:hint="eastAsia"/>
          <w:color w:val="auto"/>
          <w:highlight w:val="none"/>
        </w:rPr>
        <w:t>当幕墙与模块单元集成时，应与模块单元可靠连接。</w:t>
      </w:r>
      <w:bookmarkEnd w:id="309"/>
      <w:bookmarkEnd w:id="310"/>
    </w:p>
    <w:p>
      <w:pPr>
        <w:pStyle w:val="4"/>
        <w:rPr>
          <w:color w:val="auto"/>
          <w:highlight w:val="none"/>
        </w:rPr>
      </w:pPr>
      <w:bookmarkStart w:id="311" w:name="_Toc7284"/>
      <w:bookmarkStart w:id="312" w:name="_Toc13778"/>
      <w:bookmarkStart w:id="313" w:name="_Toc2148"/>
      <w:bookmarkStart w:id="314" w:name="_Toc18992"/>
      <w:bookmarkStart w:id="315" w:name="_Toc13296"/>
      <w:bookmarkStart w:id="316" w:name="_Toc10459"/>
      <w:bookmarkStart w:id="317" w:name="_Toc11095"/>
      <w:bookmarkStart w:id="318" w:name="_Toc16073"/>
      <w:bookmarkStart w:id="319" w:name="_Toc430"/>
      <w:bookmarkStart w:id="320" w:name="_Toc979"/>
      <w:bookmarkStart w:id="321" w:name="_Toc17551"/>
      <w:bookmarkStart w:id="322" w:name="_Toc26572"/>
      <w:bookmarkStart w:id="323" w:name="_Toc14855"/>
      <w:bookmarkStart w:id="324" w:name="_Toc6255"/>
      <w:bookmarkStart w:id="325" w:name="_Toc3005"/>
      <w:bookmarkStart w:id="326" w:name="_Toc5306"/>
      <w:bookmarkStart w:id="327" w:name="_Toc15516"/>
      <w:bookmarkStart w:id="328" w:name="_Toc27012"/>
      <w:bookmarkStart w:id="329" w:name="_Toc14200"/>
      <w:bookmarkStart w:id="330" w:name="_Toc3755"/>
      <w:bookmarkStart w:id="331" w:name="_Toc29321"/>
      <w:bookmarkStart w:id="332" w:name="_Toc14559"/>
      <w:bookmarkStart w:id="333" w:name="_Toc13669"/>
      <w:bookmarkStart w:id="334" w:name="_Toc5245"/>
      <w:bookmarkStart w:id="335" w:name="_Toc20916"/>
      <w:bookmarkStart w:id="336" w:name="_Toc27657"/>
      <w:bookmarkStart w:id="337" w:name="_Toc2157"/>
      <w:bookmarkStart w:id="338" w:name="_Toc15605"/>
      <w:bookmarkStart w:id="339" w:name="_Toc26949"/>
      <w:bookmarkStart w:id="340" w:name="_Toc2065"/>
      <w:bookmarkStart w:id="341" w:name="_Toc20275"/>
      <w:bookmarkStart w:id="342" w:name="_Toc21364"/>
      <w:bookmarkStart w:id="343" w:name="_Toc5295"/>
      <w:r>
        <w:rPr>
          <w:rFonts w:hint="eastAsia"/>
          <w:b/>
          <w:bCs w:val="0"/>
          <w:color w:val="auto"/>
          <w:highlight w:val="none"/>
        </w:rPr>
        <w:t>4</w:t>
      </w:r>
      <w:r>
        <w:rPr>
          <w:rFonts w:hint="eastAsia" w:ascii="宋体" w:hAnsi="宋体" w:eastAsia="宋体"/>
          <w:b/>
          <w:bCs w:val="0"/>
          <w:color w:val="auto"/>
          <w:szCs w:val="21"/>
          <w:highlight w:val="none"/>
        </w:rPr>
        <w:t>.</w:t>
      </w:r>
      <w:r>
        <w:rPr>
          <w:b/>
          <w:bCs w:val="0"/>
          <w:color w:val="auto"/>
          <w:highlight w:val="none"/>
        </w:rPr>
        <w:t>4</w:t>
      </w:r>
      <w:r>
        <w:rPr>
          <w:rFonts w:hint="eastAsia"/>
          <w:color w:val="auto"/>
          <w:highlight w:val="none"/>
        </w:rPr>
        <w:t xml:space="preserve">  构造要求</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pPr>
        <w:numPr>
          <w:ilvl w:val="0"/>
          <w:numId w:val="9"/>
        </w:numPr>
        <w:rPr>
          <w:color w:val="auto"/>
          <w:highlight w:val="none"/>
        </w:rPr>
      </w:pPr>
      <w:r>
        <w:rPr>
          <w:rFonts w:hint="eastAsia"/>
          <w:color w:val="auto"/>
          <w:highlight w:val="none"/>
        </w:rPr>
        <w:t>混凝土模块化建筑应考虑建筑立面、制造工艺、运输及施工安装的可行性，并应根据建筑所在地区的气候条件、使用功能等综合确定抗风性能、抗震性能、耐撞击性能、防火性能、水密性能、气密性能、隔声性能、热工性能和耐久性能等要求。</w:t>
      </w:r>
    </w:p>
    <w:p>
      <w:pPr>
        <w:numPr>
          <w:ilvl w:val="0"/>
          <w:numId w:val="9"/>
        </w:numPr>
        <w:rPr>
          <w:color w:val="auto"/>
          <w:highlight w:val="none"/>
        </w:rPr>
      </w:pPr>
      <w:r>
        <w:rPr>
          <w:rFonts w:hint="eastAsia"/>
          <w:color w:val="auto"/>
          <w:highlight w:val="none"/>
        </w:rPr>
        <w:t>混凝土模块化建筑外墙应进行整体防水设计，并应符合下列规定：</w:t>
      </w:r>
    </w:p>
    <w:p>
      <w:pPr>
        <w:ind w:firstLine="440" w:firstLineChars="200"/>
        <w:rPr>
          <w:color w:val="auto"/>
          <w:highlight w:val="none"/>
        </w:rPr>
      </w:pPr>
      <w:r>
        <w:rPr>
          <w:b/>
          <w:color w:val="auto"/>
          <w:highlight w:val="none"/>
        </w:rPr>
        <w:t xml:space="preserve">1  </w:t>
      </w:r>
      <w:r>
        <w:rPr>
          <w:rFonts w:hint="eastAsia"/>
          <w:color w:val="auto"/>
          <w:highlight w:val="none"/>
        </w:rPr>
        <w:t>防水设计应包括外墙防水工程的构造、防水层材料的选择和节点的密封防水构造；</w:t>
      </w:r>
    </w:p>
    <w:p>
      <w:pPr>
        <w:ind w:firstLine="440" w:firstLineChars="200"/>
        <w:rPr>
          <w:color w:val="auto"/>
          <w:highlight w:val="none"/>
        </w:rPr>
      </w:pPr>
      <w:r>
        <w:rPr>
          <w:rFonts w:hint="eastAsia"/>
          <w:b/>
          <w:color w:val="auto"/>
          <w:highlight w:val="none"/>
        </w:rPr>
        <w:t>2</w:t>
      </w:r>
      <w:r>
        <w:rPr>
          <w:b/>
          <w:color w:val="auto"/>
          <w:highlight w:val="none"/>
        </w:rPr>
        <w:t xml:space="preserve">  </w:t>
      </w:r>
      <w:r>
        <w:rPr>
          <w:rFonts w:hint="eastAsia"/>
          <w:color w:val="auto"/>
          <w:highlight w:val="none"/>
        </w:rPr>
        <w:t>节点构造防水设计应包括门窗洞口、</w:t>
      </w:r>
      <w:r>
        <w:rPr>
          <w:rFonts w:hint="eastAsia"/>
          <w:color w:val="auto"/>
          <w:highlight w:val="none"/>
          <w:lang w:eastAsia="zh-CN"/>
        </w:rPr>
        <w:t>雨棚</w:t>
      </w:r>
      <w:r>
        <w:rPr>
          <w:rFonts w:hint="eastAsia"/>
          <w:color w:val="auto"/>
          <w:highlight w:val="none"/>
        </w:rPr>
        <w:t>、阳台、变形缝、伸出外墙管道、女儿墙压顶、外墙预埋件、预制构件、拼缝、楼板和墙体的开洞穿管处等细部构造；</w:t>
      </w:r>
    </w:p>
    <w:p>
      <w:pPr>
        <w:ind w:firstLine="440" w:firstLineChars="200"/>
        <w:rPr>
          <w:color w:val="auto"/>
          <w:highlight w:val="none"/>
        </w:rPr>
      </w:pPr>
      <w:r>
        <w:rPr>
          <w:rFonts w:hint="eastAsia"/>
          <w:b/>
          <w:color w:val="auto"/>
          <w:highlight w:val="none"/>
        </w:rPr>
        <w:t>3</w:t>
      </w:r>
      <w:r>
        <w:rPr>
          <w:b/>
          <w:color w:val="auto"/>
          <w:highlight w:val="none"/>
        </w:rPr>
        <w:t xml:space="preserve">  </w:t>
      </w:r>
      <w:r>
        <w:rPr>
          <w:rFonts w:hint="eastAsia"/>
          <w:color w:val="auto"/>
          <w:highlight w:val="none"/>
        </w:rPr>
        <w:t>预制和现浇混凝土的结合位置，应采取有效的防渗措施，并宜结合建筑外立面设置分隔线条；</w:t>
      </w:r>
    </w:p>
    <w:p>
      <w:pPr>
        <w:ind w:firstLine="440" w:firstLineChars="200"/>
        <w:rPr>
          <w:color w:val="auto"/>
          <w:highlight w:val="none"/>
        </w:rPr>
      </w:pPr>
      <w:r>
        <w:rPr>
          <w:b/>
          <w:bCs/>
          <w:color w:val="auto"/>
          <w:highlight w:val="none"/>
        </w:rPr>
        <w:t>4</w:t>
      </w:r>
      <w:r>
        <w:rPr>
          <w:rFonts w:hint="eastAsia"/>
          <w:color w:val="auto"/>
          <w:highlight w:val="none"/>
        </w:rPr>
        <w:t xml:space="preserve">  建筑外墙防水材料应根据本市的气候环境特点选用，防水层应设置在迎水面。</w:t>
      </w:r>
    </w:p>
    <w:p>
      <w:pPr>
        <w:numPr>
          <w:ilvl w:val="0"/>
          <w:numId w:val="9"/>
        </w:numPr>
        <w:rPr>
          <w:color w:val="auto"/>
          <w:highlight w:val="none"/>
        </w:rPr>
      </w:pPr>
      <w:r>
        <w:rPr>
          <w:rFonts w:hint="eastAsia"/>
          <w:color w:val="auto"/>
          <w:highlight w:val="none"/>
        </w:rPr>
        <w:t>门窗洞边、屋面、檐口、勒脚、有水房间门槛处、外墙拼缝等部位应采用加强防水做法，防水材料宜选用弹性材料。</w:t>
      </w:r>
    </w:p>
    <w:p>
      <w:pPr>
        <w:numPr>
          <w:ilvl w:val="0"/>
          <w:numId w:val="9"/>
        </w:numPr>
        <w:rPr>
          <w:color w:val="auto"/>
          <w:highlight w:val="none"/>
        </w:rPr>
      </w:pPr>
      <w:r>
        <w:rPr>
          <w:rFonts w:hint="eastAsia"/>
          <w:color w:val="auto"/>
          <w:highlight w:val="none"/>
        </w:rPr>
        <w:t>混凝土模块化建筑外墙应具备良好的气密性和水密性，模块单元中的门窗制品宜采用预埋式连接。</w:t>
      </w:r>
    </w:p>
    <w:p>
      <w:pPr>
        <w:numPr>
          <w:ilvl w:val="0"/>
          <w:numId w:val="9"/>
        </w:numPr>
        <w:rPr>
          <w:color w:val="auto"/>
          <w:highlight w:val="none"/>
        </w:rPr>
      </w:pPr>
      <w:r>
        <w:rPr>
          <w:rFonts w:hint="eastAsia"/>
          <w:color w:val="auto"/>
          <w:highlight w:val="none"/>
        </w:rPr>
        <w:t>混凝土模块化建筑中，模块单元之间的连接设计应符合下列规定：</w:t>
      </w:r>
    </w:p>
    <w:p>
      <w:pPr>
        <w:ind w:firstLine="440" w:firstLineChars="200"/>
        <w:jc w:val="left"/>
        <w:rPr>
          <w:b/>
          <w:color w:val="auto"/>
          <w:highlight w:val="none"/>
        </w:rPr>
      </w:pPr>
      <w:r>
        <w:rPr>
          <w:b/>
          <w:color w:val="auto"/>
          <w:highlight w:val="none"/>
        </w:rPr>
        <w:t xml:space="preserve">1  </w:t>
      </w:r>
      <w:r>
        <w:rPr>
          <w:rFonts w:hint="eastAsia"/>
          <w:bCs/>
          <w:color w:val="auto"/>
          <w:highlight w:val="none"/>
        </w:rPr>
        <w:t>连接节点设计应明确工厂加工与现场施工的交界面；</w:t>
      </w:r>
    </w:p>
    <w:p>
      <w:pPr>
        <w:ind w:firstLine="440" w:firstLineChars="200"/>
        <w:jc w:val="left"/>
        <w:rPr>
          <w:color w:val="auto"/>
          <w:highlight w:val="none"/>
        </w:rPr>
      </w:pPr>
      <w:r>
        <w:rPr>
          <w:b/>
          <w:color w:val="auto"/>
          <w:highlight w:val="none"/>
        </w:rPr>
        <w:t xml:space="preserve">2  </w:t>
      </w:r>
      <w:r>
        <w:rPr>
          <w:rFonts w:hint="eastAsia"/>
          <w:color w:val="auto"/>
          <w:highlight w:val="none"/>
        </w:rPr>
        <w:t>连接节点设计应为现场施工安装提供足够的施工及安全保护空间；</w:t>
      </w:r>
    </w:p>
    <w:p>
      <w:pPr>
        <w:ind w:firstLine="440" w:firstLineChars="200"/>
        <w:jc w:val="left"/>
        <w:rPr>
          <w:b/>
          <w:color w:val="auto"/>
          <w:highlight w:val="none"/>
        </w:rPr>
      </w:pPr>
      <w:r>
        <w:rPr>
          <w:b/>
          <w:color w:val="auto"/>
          <w:highlight w:val="none"/>
        </w:rPr>
        <w:t xml:space="preserve">3  </w:t>
      </w:r>
      <w:r>
        <w:rPr>
          <w:rFonts w:hint="eastAsia"/>
          <w:bCs/>
          <w:color w:val="auto"/>
          <w:highlight w:val="none"/>
        </w:rPr>
        <w:t>连接节点设计</w:t>
      </w:r>
      <w:r>
        <w:rPr>
          <w:rFonts w:hint="eastAsia"/>
          <w:bCs/>
          <w:color w:val="auto"/>
          <w:highlight w:val="none"/>
          <w:lang w:eastAsia="zh-CN"/>
        </w:rPr>
        <w:t>应</w:t>
      </w:r>
      <w:r>
        <w:rPr>
          <w:rFonts w:hint="eastAsia"/>
          <w:bCs/>
          <w:color w:val="auto"/>
          <w:highlight w:val="none"/>
        </w:rPr>
        <w:t>方便后期的维护及检修；</w:t>
      </w:r>
    </w:p>
    <w:p>
      <w:pPr>
        <w:ind w:firstLine="440" w:firstLineChars="200"/>
        <w:jc w:val="left"/>
        <w:rPr>
          <w:color w:val="auto"/>
          <w:highlight w:val="none"/>
        </w:rPr>
      </w:pPr>
      <w:r>
        <w:rPr>
          <w:b/>
          <w:bCs/>
          <w:color w:val="auto"/>
          <w:highlight w:val="none"/>
        </w:rPr>
        <w:t>4</w:t>
      </w:r>
      <w:r>
        <w:rPr>
          <w:rFonts w:hint="eastAsia"/>
          <w:color w:val="auto"/>
          <w:highlight w:val="none"/>
        </w:rPr>
        <w:t xml:space="preserve">  连接节点设计应满足建筑防火、防水、防潮、隔声等各项要求。</w:t>
      </w:r>
    </w:p>
    <w:p>
      <w:pPr>
        <w:numPr>
          <w:ilvl w:val="0"/>
          <w:numId w:val="9"/>
        </w:numPr>
        <w:tabs>
          <w:tab w:val="clear" w:pos="0"/>
        </w:tabs>
        <w:jc w:val="left"/>
        <w:rPr>
          <w:color w:val="auto"/>
          <w:highlight w:val="none"/>
        </w:rPr>
      </w:pPr>
      <w:r>
        <w:rPr>
          <w:rFonts w:hint="eastAsia"/>
          <w:color w:val="auto"/>
          <w:highlight w:val="none"/>
        </w:rPr>
        <w:t>模块单元间拼缝的防水设计应符合下列规定：</w:t>
      </w:r>
    </w:p>
    <w:p>
      <w:pPr>
        <w:ind w:firstLine="440" w:firstLineChars="200"/>
        <w:jc w:val="left"/>
        <w:rPr>
          <w:color w:val="auto"/>
          <w:highlight w:val="none"/>
        </w:rPr>
      </w:pPr>
      <w:r>
        <w:rPr>
          <w:rFonts w:hint="eastAsia"/>
          <w:b/>
          <w:bCs/>
          <w:color w:val="auto"/>
          <w:highlight w:val="none"/>
        </w:rPr>
        <w:t>1</w:t>
      </w:r>
      <w:r>
        <w:rPr>
          <w:rFonts w:hint="eastAsia"/>
          <w:color w:val="auto"/>
          <w:highlight w:val="none"/>
        </w:rPr>
        <w:t xml:space="preserve"> 模块单元间接缝宜采用材料防水和构造防水相结合的做法；</w:t>
      </w:r>
    </w:p>
    <w:p>
      <w:pPr>
        <w:ind w:firstLine="440" w:firstLineChars="200"/>
        <w:jc w:val="left"/>
        <w:rPr>
          <w:color w:val="auto"/>
          <w:highlight w:val="none"/>
        </w:rPr>
      </w:pPr>
      <w:r>
        <w:rPr>
          <w:rFonts w:hint="eastAsia"/>
          <w:b/>
          <w:bCs/>
          <w:color w:val="auto"/>
          <w:highlight w:val="none"/>
        </w:rPr>
        <w:t>2</w:t>
      </w:r>
      <w:r>
        <w:rPr>
          <w:rFonts w:hint="eastAsia"/>
          <w:color w:val="auto"/>
          <w:highlight w:val="none"/>
        </w:rPr>
        <w:t xml:space="preserve"> 模块单元宜在接缝处设置聚乙烯棒，并宜在外侧填补防水密封胶；</w:t>
      </w:r>
    </w:p>
    <w:p>
      <w:pPr>
        <w:ind w:firstLine="440" w:firstLineChars="200"/>
        <w:jc w:val="left"/>
        <w:rPr>
          <w:color w:val="auto"/>
          <w:highlight w:val="none"/>
        </w:rPr>
      </w:pPr>
      <w:r>
        <w:rPr>
          <w:rFonts w:hint="eastAsia"/>
          <w:b/>
          <w:bCs/>
          <w:color w:val="auto"/>
          <w:highlight w:val="none"/>
        </w:rPr>
        <w:t>3</w:t>
      </w:r>
      <w:r>
        <w:rPr>
          <w:rFonts w:hint="eastAsia"/>
          <w:color w:val="auto"/>
          <w:highlight w:val="none"/>
        </w:rPr>
        <w:t xml:space="preserve"> 模块单元间接缝处的防水构造应满足使用期间的排水要求。</w:t>
      </w:r>
    </w:p>
    <w:p>
      <w:pPr>
        <w:numPr>
          <w:ilvl w:val="0"/>
          <w:numId w:val="9"/>
        </w:numPr>
        <w:rPr>
          <w:color w:val="auto"/>
          <w:highlight w:val="none"/>
        </w:rPr>
      </w:pPr>
      <w:r>
        <w:rPr>
          <w:rFonts w:hint="eastAsia"/>
          <w:color w:val="auto"/>
          <w:highlight w:val="none"/>
        </w:rPr>
        <w:t>模块单元间拼缝的防火封堵设计应符合下列规定：</w:t>
      </w:r>
    </w:p>
    <w:p>
      <w:pPr>
        <w:tabs>
          <w:tab w:val="left" w:pos="0"/>
        </w:tabs>
        <w:ind w:firstLine="441"/>
        <w:rPr>
          <w:color w:val="auto"/>
          <w:highlight w:val="none"/>
        </w:rPr>
      </w:pPr>
      <w:r>
        <w:rPr>
          <w:b/>
          <w:bCs/>
          <w:color w:val="auto"/>
          <w:highlight w:val="none"/>
        </w:rPr>
        <w:t>1</w:t>
      </w:r>
      <w:r>
        <w:rPr>
          <w:rFonts w:hint="eastAsia"/>
          <w:color w:val="auto"/>
          <w:highlight w:val="none"/>
        </w:rPr>
        <w:t xml:space="preserve">  模块单元间拼缝宜采用无机材料进行防火封堵，材料性能应符合现行国家标准《建筑防火通用规范》GB 55037和《建筑设计防火规范》GB 50016的有关规定；</w:t>
      </w:r>
    </w:p>
    <w:p>
      <w:pPr>
        <w:ind w:firstLine="441"/>
        <w:rPr>
          <w:color w:val="auto"/>
          <w:highlight w:val="none"/>
        </w:rPr>
      </w:pPr>
      <w:r>
        <w:rPr>
          <w:rFonts w:hint="eastAsia"/>
          <w:b/>
          <w:color w:val="auto"/>
          <w:szCs w:val="21"/>
          <w:highlight w:val="none"/>
        </w:rPr>
        <w:t>2</w:t>
      </w:r>
      <w:r>
        <w:rPr>
          <w:bCs/>
          <w:color w:val="auto"/>
          <w:szCs w:val="21"/>
          <w:highlight w:val="none"/>
        </w:rPr>
        <w:t xml:space="preserve">  </w:t>
      </w:r>
      <w:r>
        <w:rPr>
          <w:rFonts w:hint="eastAsia"/>
          <w:color w:val="auto"/>
          <w:highlight w:val="none"/>
        </w:rPr>
        <w:t>模块单元间外围护侧有保温构造时，拼缝应采用无机保温材料进行防火封堵</w:t>
      </w:r>
      <w:r>
        <w:rPr>
          <w:rFonts w:hint="eastAsia"/>
          <w:bCs/>
          <w:color w:val="auto"/>
          <w:szCs w:val="21"/>
          <w:highlight w:val="none"/>
        </w:rPr>
        <w:t>；</w:t>
      </w:r>
    </w:p>
    <w:p>
      <w:pPr>
        <w:ind w:firstLine="441"/>
        <w:rPr>
          <w:color w:val="auto"/>
          <w:highlight w:val="none"/>
        </w:rPr>
      </w:pPr>
      <w:r>
        <w:rPr>
          <w:b/>
          <w:bCs/>
          <w:color w:val="auto"/>
          <w:highlight w:val="none"/>
        </w:rPr>
        <w:t>3</w:t>
      </w:r>
      <w:r>
        <w:rPr>
          <w:rFonts w:hint="eastAsia"/>
          <w:color w:val="auto"/>
          <w:highlight w:val="none"/>
        </w:rPr>
        <w:t xml:space="preserve"> </w:t>
      </w:r>
      <w:r>
        <w:rPr>
          <w:color w:val="auto"/>
          <w:highlight w:val="none"/>
        </w:rPr>
        <w:t xml:space="preserve"> </w:t>
      </w:r>
      <w:r>
        <w:rPr>
          <w:rFonts w:hint="eastAsia"/>
          <w:bCs/>
          <w:color w:val="auto"/>
          <w:szCs w:val="21"/>
          <w:highlight w:val="none"/>
        </w:rPr>
        <w:t>当模块内墙均单独满足建筑外围护的防火要求时，此类墙体间形成的封闭空腔靠外墙一侧的缝隙可不进行防火封堵</w:t>
      </w:r>
      <w:r>
        <w:rPr>
          <w:rFonts w:hint="eastAsia"/>
          <w:color w:val="auto"/>
          <w:highlight w:val="none"/>
        </w:rPr>
        <w:t>。</w:t>
      </w:r>
    </w:p>
    <w:p>
      <w:pPr>
        <w:numPr>
          <w:ilvl w:val="0"/>
          <w:numId w:val="9"/>
        </w:numPr>
        <w:rPr>
          <w:color w:val="auto"/>
          <w:highlight w:val="none"/>
        </w:rPr>
      </w:pPr>
      <w:r>
        <w:rPr>
          <w:rFonts w:hint="eastAsia"/>
          <w:color w:val="auto"/>
          <w:highlight w:val="none"/>
        </w:rPr>
        <w:t>混凝土模块化建筑接缝用密封胶材料进行填塞封堵时，密封胶的材料应符合现行行业标准《混凝土接缝用建筑密封胶》JC/T881有关规定；当选用硅酮类密封胶时</w:t>
      </w:r>
      <w:r>
        <w:rPr>
          <w:rFonts w:hint="eastAsia"/>
          <w:color w:val="auto"/>
          <w:highlight w:val="none"/>
          <w:lang w:eastAsia="zh-CN"/>
        </w:rPr>
        <w:t>，</w:t>
      </w:r>
      <w:r>
        <w:rPr>
          <w:rFonts w:hint="eastAsia"/>
          <w:color w:val="auto"/>
          <w:highlight w:val="none"/>
        </w:rPr>
        <w:t>应符合现行国家标准《硅酮建筑密封胶》GB/T14683的有关规定。</w:t>
      </w:r>
    </w:p>
    <w:p>
      <w:pPr>
        <w:ind w:firstLine="441"/>
        <w:rPr>
          <w:rStyle w:val="30"/>
          <w:color w:val="auto"/>
          <w:szCs w:val="22"/>
          <w:highlight w:val="none"/>
        </w:rPr>
      </w:pPr>
    </w:p>
    <w:p>
      <w:pPr>
        <w:widowControl/>
        <w:jc w:val="left"/>
        <w:rPr>
          <w:color w:val="auto"/>
          <w:highlight w:val="none"/>
        </w:rPr>
        <w:sectPr>
          <w:pgSz w:w="11906" w:h="16838"/>
          <w:pgMar w:top="1610" w:right="1349" w:bottom="1213" w:left="1293" w:header="851" w:footer="992" w:gutter="0"/>
          <w:cols w:space="720" w:num="1"/>
          <w:docGrid w:type="linesAndChars" w:linePitch="333" w:charSpace="2165"/>
        </w:sectPr>
      </w:pPr>
    </w:p>
    <w:p>
      <w:pPr>
        <w:pStyle w:val="2"/>
        <w:rPr>
          <w:b/>
          <w:bCs w:val="0"/>
          <w:color w:val="auto"/>
          <w:highlight w:val="none"/>
        </w:rPr>
      </w:pPr>
      <w:bookmarkStart w:id="344" w:name="_Toc17855"/>
      <w:bookmarkStart w:id="345" w:name="_Toc11218"/>
      <w:bookmarkStart w:id="346" w:name="_Toc27797"/>
      <w:bookmarkStart w:id="347" w:name="_Toc10513"/>
      <w:bookmarkStart w:id="348" w:name="_Toc29839"/>
      <w:bookmarkStart w:id="349" w:name="_Toc20258"/>
      <w:bookmarkStart w:id="350" w:name="_Toc19536"/>
      <w:bookmarkStart w:id="351" w:name="_Toc8968"/>
      <w:bookmarkStart w:id="352" w:name="_Toc15232"/>
      <w:bookmarkStart w:id="353" w:name="_Toc2169"/>
      <w:bookmarkStart w:id="354" w:name="_Toc31768"/>
      <w:bookmarkStart w:id="355" w:name="_Toc21433"/>
      <w:bookmarkStart w:id="356" w:name="_Toc19078"/>
      <w:bookmarkStart w:id="357" w:name="_Toc1185"/>
      <w:bookmarkStart w:id="358" w:name="_Toc9407"/>
      <w:bookmarkStart w:id="359" w:name="_Toc22201"/>
      <w:bookmarkStart w:id="360" w:name="_Toc32259"/>
      <w:bookmarkStart w:id="361" w:name="_Toc1610"/>
      <w:bookmarkStart w:id="362" w:name="_Toc30610"/>
      <w:bookmarkStart w:id="363" w:name="_Toc15612"/>
      <w:bookmarkStart w:id="364" w:name="_Toc17827"/>
      <w:bookmarkStart w:id="365" w:name="_Toc8621"/>
      <w:bookmarkStart w:id="366" w:name="_Toc11709"/>
      <w:bookmarkStart w:id="367" w:name="_Toc13444"/>
      <w:bookmarkStart w:id="368" w:name="_Toc27366"/>
      <w:bookmarkStart w:id="369" w:name="_Toc11308"/>
      <w:bookmarkStart w:id="370" w:name="_Toc20784"/>
      <w:bookmarkStart w:id="371" w:name="_Toc6192"/>
      <w:bookmarkStart w:id="372" w:name="_Toc21344"/>
      <w:bookmarkStart w:id="373" w:name="_Toc23383"/>
      <w:bookmarkStart w:id="374" w:name="_Toc28917"/>
      <w:bookmarkStart w:id="375" w:name="_Toc5885"/>
      <w:bookmarkStart w:id="376" w:name="_Toc2742"/>
      <w:r>
        <w:rPr>
          <w:b/>
          <w:bCs w:val="0"/>
          <w:color w:val="auto"/>
          <w:highlight w:val="none"/>
        </w:rPr>
        <w:t>5</w:t>
      </w:r>
      <w:r>
        <w:rPr>
          <w:rFonts w:hint="eastAsia"/>
          <w:b/>
          <w:bCs w:val="0"/>
          <w:color w:val="auto"/>
          <w:highlight w:val="none"/>
        </w:rPr>
        <w:t xml:space="preserve">  结构设计</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pPr>
        <w:pStyle w:val="4"/>
        <w:rPr>
          <w:color w:val="auto"/>
          <w:highlight w:val="none"/>
        </w:rPr>
      </w:pPr>
      <w:bookmarkStart w:id="377" w:name="_Toc30804"/>
      <w:bookmarkStart w:id="378" w:name="_Toc15069"/>
      <w:bookmarkStart w:id="379" w:name="_Toc7953"/>
      <w:bookmarkStart w:id="380" w:name="_Toc1111"/>
      <w:bookmarkStart w:id="381" w:name="_Toc22813"/>
      <w:bookmarkStart w:id="382" w:name="_Toc19493"/>
      <w:bookmarkStart w:id="383" w:name="_Toc2107"/>
      <w:bookmarkStart w:id="384" w:name="_Toc18475"/>
      <w:bookmarkStart w:id="385" w:name="_Toc8681"/>
      <w:bookmarkStart w:id="386" w:name="_Toc31182"/>
      <w:bookmarkStart w:id="387" w:name="_Toc11835"/>
      <w:bookmarkStart w:id="388" w:name="_Toc13839"/>
      <w:bookmarkStart w:id="389" w:name="_Toc24900"/>
      <w:bookmarkStart w:id="390" w:name="_Toc22887"/>
      <w:bookmarkStart w:id="391" w:name="_Toc27898"/>
      <w:bookmarkStart w:id="392" w:name="_Toc23197"/>
      <w:bookmarkStart w:id="393" w:name="_Toc19495"/>
      <w:bookmarkStart w:id="394" w:name="_Toc16475"/>
      <w:bookmarkStart w:id="395" w:name="_Toc23352"/>
      <w:bookmarkStart w:id="396" w:name="_Toc15343"/>
      <w:bookmarkStart w:id="397" w:name="_Toc17699"/>
      <w:bookmarkStart w:id="398" w:name="_Toc28022"/>
      <w:bookmarkStart w:id="399" w:name="_Toc20446"/>
      <w:bookmarkStart w:id="400" w:name="_Toc30520"/>
      <w:bookmarkStart w:id="401" w:name="_Toc21952"/>
      <w:bookmarkStart w:id="402" w:name="_Toc1835"/>
      <w:bookmarkStart w:id="403" w:name="_Toc17634"/>
      <w:bookmarkStart w:id="404" w:name="_Toc15998"/>
      <w:bookmarkStart w:id="405" w:name="_Toc15772"/>
      <w:bookmarkStart w:id="406" w:name="_Toc10746"/>
      <w:bookmarkStart w:id="407" w:name="_Toc2100"/>
      <w:bookmarkStart w:id="408" w:name="_Toc28636"/>
      <w:bookmarkStart w:id="409" w:name="_Toc4506"/>
      <w:r>
        <w:rPr>
          <w:rFonts w:hint="eastAsia"/>
          <w:b/>
          <w:bCs w:val="0"/>
          <w:color w:val="auto"/>
          <w:highlight w:val="none"/>
        </w:rPr>
        <w:t>5</w:t>
      </w:r>
      <w:r>
        <w:rPr>
          <w:rFonts w:hint="eastAsia" w:ascii="宋体" w:hAnsi="宋体" w:eastAsia="宋体"/>
          <w:color w:val="auto"/>
          <w:szCs w:val="21"/>
          <w:highlight w:val="none"/>
        </w:rPr>
        <w:t>.</w:t>
      </w:r>
      <w:r>
        <w:rPr>
          <w:b/>
          <w:bCs w:val="0"/>
          <w:color w:val="auto"/>
          <w:highlight w:val="none"/>
        </w:rPr>
        <w:t>1</w:t>
      </w:r>
      <w:r>
        <w:rPr>
          <w:rFonts w:hint="eastAsia"/>
          <w:color w:val="auto"/>
          <w:highlight w:val="none"/>
        </w:rPr>
        <w:t xml:space="preserve">  一般规定</w:t>
      </w:r>
      <w:bookmarkEnd w:id="377"/>
      <w:bookmarkEnd w:id="378"/>
      <w:bookmarkEnd w:id="379"/>
      <w:bookmarkEnd w:id="380"/>
      <w:bookmarkEnd w:id="381"/>
      <w:bookmarkEnd w:id="382"/>
      <w:bookmarkEnd w:id="383"/>
      <w:bookmarkEnd w:id="384"/>
      <w:bookmarkEnd w:id="385"/>
      <w:bookmarkEnd w:id="386"/>
      <w:bookmarkEnd w:id="387"/>
      <w:bookmarkEnd w:id="388"/>
    </w:p>
    <w:p>
      <w:pPr>
        <w:numPr>
          <w:ilvl w:val="0"/>
          <w:numId w:val="10"/>
        </w:numPr>
        <w:rPr>
          <w:color w:val="auto"/>
          <w:highlight w:val="none"/>
        </w:rPr>
      </w:pPr>
      <w:r>
        <w:rPr>
          <w:rFonts w:hint="eastAsia"/>
          <w:bCs/>
          <w:color w:val="auto"/>
          <w:highlight w:val="none"/>
        </w:rPr>
        <w:t>混凝土</w:t>
      </w:r>
      <w:r>
        <w:rPr>
          <w:color w:val="auto"/>
          <w:highlight w:val="none"/>
        </w:rPr>
        <w:t>模块化</w:t>
      </w:r>
      <w:r>
        <w:rPr>
          <w:rFonts w:hint="eastAsia"/>
          <w:color w:val="auto"/>
          <w:highlight w:val="none"/>
        </w:rPr>
        <w:t>建筑的结构设计除应符合本导则外，尚应按现行国家标准《建筑与市政工程抗震通用规范》GB 55002、《混凝土结构通用规范》</w:t>
      </w:r>
      <w:r>
        <w:rPr>
          <w:color w:val="auto"/>
          <w:highlight w:val="none"/>
        </w:rPr>
        <w:t>GB 55008</w:t>
      </w:r>
      <w:r>
        <w:rPr>
          <w:rFonts w:hint="eastAsia"/>
          <w:color w:val="auto"/>
          <w:highlight w:val="none"/>
        </w:rPr>
        <w:t>、《混凝土结构设计标准》GB/T 50010、《装配式混凝土建筑技术标准》GB/T 51231、《高层建筑混凝土结构技术规程》</w:t>
      </w:r>
      <w:r>
        <w:rPr>
          <w:color w:val="auto"/>
          <w:highlight w:val="none"/>
        </w:rPr>
        <w:t>JGJ 3</w:t>
      </w:r>
      <w:r>
        <w:rPr>
          <w:rFonts w:hint="eastAsia"/>
          <w:color w:val="auto"/>
          <w:highlight w:val="none"/>
          <w:lang w:eastAsia="zh-CN"/>
        </w:rPr>
        <w:t>、</w:t>
      </w:r>
      <w:r>
        <w:rPr>
          <w:rFonts w:hint="eastAsia"/>
          <w:color w:val="auto"/>
          <w:highlight w:val="none"/>
        </w:rPr>
        <w:t>行业标准《装配式混凝土结构技术规程》</w:t>
      </w:r>
      <w:r>
        <w:rPr>
          <w:color w:val="auto"/>
          <w:highlight w:val="none"/>
        </w:rPr>
        <w:t>JGJ 1</w:t>
      </w:r>
      <w:r>
        <w:rPr>
          <w:rFonts w:hint="eastAsia"/>
          <w:color w:val="auto"/>
          <w:highlight w:val="none"/>
        </w:rPr>
        <w:t>及</w:t>
      </w:r>
      <w:r>
        <w:rPr>
          <w:rFonts w:hint="eastAsia"/>
          <w:bCs/>
          <w:color w:val="auto"/>
          <w:highlight w:val="none"/>
        </w:rPr>
        <w:t>上海市地方标准</w:t>
      </w:r>
      <w:r>
        <w:rPr>
          <w:rFonts w:hint="eastAsia"/>
          <w:color w:val="auto"/>
          <w:highlight w:val="none"/>
        </w:rPr>
        <w:t>《装配整体式混凝土居住建筑设计规程》DG/TJ 08-2071、《装配整体式混凝土公共建筑设计规程》DG/TJ 08-2154、《建筑抗震设计标准》DG/TJ 08-9的有关规定执行，高层模块化箱模结构尚应按现行国家标准的有关规定执行。</w:t>
      </w:r>
    </w:p>
    <w:p>
      <w:pPr>
        <w:numPr>
          <w:ilvl w:val="0"/>
          <w:numId w:val="10"/>
        </w:numPr>
        <w:rPr>
          <w:bCs/>
          <w:color w:val="auto"/>
          <w:highlight w:val="none"/>
        </w:rPr>
      </w:pPr>
      <w:r>
        <w:rPr>
          <w:rFonts w:hint="eastAsia"/>
          <w:bCs/>
          <w:color w:val="auto"/>
          <w:highlight w:val="none"/>
        </w:rPr>
        <w:t>模块化结构的安全等级和设计工作年限应符合现行国家标准《工程结构通用规范》GB 55001的有关规定。</w:t>
      </w:r>
    </w:p>
    <w:p>
      <w:pPr>
        <w:numPr>
          <w:ilvl w:val="0"/>
          <w:numId w:val="10"/>
        </w:numPr>
        <w:rPr>
          <w:bCs/>
          <w:color w:val="auto"/>
          <w:highlight w:val="none"/>
        </w:rPr>
      </w:pPr>
      <w:r>
        <w:rPr>
          <w:rFonts w:hint="eastAsia"/>
          <w:bCs/>
          <w:color w:val="auto"/>
          <w:highlight w:val="none"/>
        </w:rPr>
        <w:t>混凝土模块化建筑的结构平面布置与竖向布置的规则性除应符合本导则的规定外，尚应符合现行国家标准《建筑与市政工程抗震通用规范》GB 55002、行业标准《高层建筑混凝土结构技术规程》JGJ 3及上海市地方标准《建筑抗震设计标准》DG/TJ 08-9的有关规定。</w:t>
      </w:r>
    </w:p>
    <w:p>
      <w:pPr>
        <w:numPr>
          <w:ilvl w:val="0"/>
          <w:numId w:val="10"/>
        </w:numPr>
        <w:rPr>
          <w:bCs/>
          <w:color w:val="auto"/>
          <w:highlight w:val="none"/>
        </w:rPr>
      </w:pPr>
      <w:r>
        <w:rPr>
          <w:rFonts w:hint="eastAsia"/>
          <w:bCs/>
          <w:color w:val="auto"/>
          <w:highlight w:val="none"/>
        </w:rPr>
        <w:t>模块化结构的质量、刚度和承载力分布宜均匀，平面布置应符合下列规定：</w:t>
      </w:r>
    </w:p>
    <w:p>
      <w:pPr>
        <w:ind w:firstLine="421" w:firstLineChars="200"/>
        <w:rPr>
          <w:color w:val="auto"/>
          <w:szCs w:val="24"/>
          <w:highlight w:val="none"/>
        </w:rPr>
      </w:pPr>
      <w:r>
        <w:rPr>
          <w:rFonts w:eastAsia="黑体"/>
          <w:b/>
          <w:color w:val="auto"/>
          <w:szCs w:val="24"/>
          <w:highlight w:val="none"/>
        </w:rPr>
        <w:t xml:space="preserve">1  </w:t>
      </w:r>
      <w:r>
        <w:rPr>
          <w:color w:val="auto"/>
          <w:szCs w:val="24"/>
          <w:highlight w:val="none"/>
        </w:rPr>
        <w:t>模块</w:t>
      </w:r>
      <w:r>
        <w:rPr>
          <w:rFonts w:hint="eastAsia"/>
          <w:color w:val="auto"/>
          <w:szCs w:val="24"/>
          <w:highlight w:val="none"/>
        </w:rPr>
        <w:t>化结构的</w:t>
      </w:r>
      <w:r>
        <w:rPr>
          <w:color w:val="auto"/>
          <w:szCs w:val="24"/>
          <w:highlight w:val="none"/>
        </w:rPr>
        <w:t>平面布置宜简单、规则、对称，减少平面内的偏心；</w:t>
      </w:r>
    </w:p>
    <w:p>
      <w:pPr>
        <w:ind w:firstLine="421" w:firstLineChars="200"/>
        <w:rPr>
          <w:color w:val="auto"/>
          <w:szCs w:val="24"/>
          <w:highlight w:val="none"/>
        </w:rPr>
      </w:pPr>
      <w:r>
        <w:rPr>
          <w:rFonts w:hint="eastAsia"/>
          <w:b/>
          <w:color w:val="auto"/>
          <w:szCs w:val="24"/>
          <w:highlight w:val="none"/>
        </w:rPr>
        <w:t>2</w:t>
      </w:r>
      <w:r>
        <w:rPr>
          <w:b/>
          <w:color w:val="auto"/>
          <w:szCs w:val="24"/>
          <w:highlight w:val="none"/>
        </w:rPr>
        <w:t xml:space="preserve">  </w:t>
      </w:r>
      <w:r>
        <w:rPr>
          <w:rFonts w:hint="eastAsia"/>
          <w:color w:val="auto"/>
          <w:szCs w:val="24"/>
          <w:highlight w:val="none"/>
        </w:rPr>
        <w:t>模块化结构平面布置应减少扭转的影响。在考虑偶然偏心影响的规定的水平地震力作用下，楼层竖向构件最大的水平位移和层间位移，模块化建筑不宜大于该楼层平均值的</w:t>
      </w:r>
      <w:r>
        <w:rPr>
          <w:rFonts w:hint="eastAsia"/>
          <w:color w:val="auto"/>
          <w:highlight w:val="none"/>
        </w:rPr>
        <w:t>1.2</w:t>
      </w:r>
      <w:r>
        <w:rPr>
          <w:rFonts w:hint="eastAsia"/>
          <w:color w:val="auto"/>
          <w:szCs w:val="24"/>
          <w:highlight w:val="none"/>
        </w:rPr>
        <w:t>倍，不应大于该楼层平均值的</w:t>
      </w:r>
      <w:r>
        <w:rPr>
          <w:rFonts w:hint="eastAsia"/>
          <w:color w:val="auto"/>
          <w:highlight w:val="none"/>
        </w:rPr>
        <w:t>1.5</w:t>
      </w:r>
      <w:r>
        <w:rPr>
          <w:rFonts w:hint="eastAsia"/>
          <w:color w:val="auto"/>
          <w:szCs w:val="24"/>
          <w:highlight w:val="none"/>
        </w:rPr>
        <w:t>倍；</w:t>
      </w:r>
    </w:p>
    <w:p>
      <w:pPr>
        <w:ind w:firstLine="421" w:firstLineChars="200"/>
        <w:rPr>
          <w:color w:val="auto"/>
          <w:highlight w:val="none"/>
        </w:rPr>
      </w:pPr>
      <w:r>
        <w:rPr>
          <w:rFonts w:hint="eastAsia"/>
          <w:b/>
          <w:bCs/>
          <w:color w:val="auto"/>
          <w:szCs w:val="24"/>
          <w:highlight w:val="none"/>
        </w:rPr>
        <w:t>3</w:t>
      </w:r>
      <w:r>
        <w:rPr>
          <w:b/>
          <w:bCs/>
          <w:color w:val="auto"/>
          <w:szCs w:val="24"/>
          <w:highlight w:val="none"/>
        </w:rPr>
        <w:t xml:space="preserve">  </w:t>
      </w:r>
      <w:r>
        <w:rPr>
          <w:color w:val="auto"/>
          <w:highlight w:val="none"/>
        </w:rPr>
        <w:t>结构扭转为主的</w:t>
      </w:r>
      <w:r>
        <w:rPr>
          <w:rFonts w:hint="eastAsia"/>
          <w:color w:val="auto"/>
          <w:highlight w:val="none"/>
        </w:rPr>
        <w:t>第一自振周期与</w:t>
      </w:r>
      <w:r>
        <w:rPr>
          <w:color w:val="auto"/>
          <w:highlight w:val="none"/>
        </w:rPr>
        <w:t>平动为主的第一自振周期之比，</w:t>
      </w:r>
      <w:r>
        <w:rPr>
          <w:rFonts w:hint="eastAsia"/>
          <w:color w:val="auto"/>
          <w:highlight w:val="none"/>
        </w:rPr>
        <w:t>模块化建筑</w:t>
      </w:r>
      <w:r>
        <w:rPr>
          <w:color w:val="auto"/>
          <w:highlight w:val="none"/>
        </w:rPr>
        <w:t>不应大于0.9。</w:t>
      </w:r>
    </w:p>
    <w:p>
      <w:pPr>
        <w:numPr>
          <w:ilvl w:val="0"/>
          <w:numId w:val="10"/>
        </w:numPr>
        <w:rPr>
          <w:bCs/>
          <w:color w:val="auto"/>
          <w:highlight w:val="none"/>
        </w:rPr>
      </w:pPr>
      <w:r>
        <w:rPr>
          <w:rFonts w:hint="eastAsia"/>
          <w:bCs/>
          <w:color w:val="auto"/>
          <w:highlight w:val="none"/>
        </w:rPr>
        <w:t>模块化结构的竖向布置应连续、均匀，构件宜上、下连续贯通，避免抗侧力结构的侧向刚度和受剪承载能力沿竖向突变。</w:t>
      </w:r>
    </w:p>
    <w:p>
      <w:pPr>
        <w:numPr>
          <w:ilvl w:val="0"/>
          <w:numId w:val="10"/>
        </w:numPr>
        <w:rPr>
          <w:bCs/>
          <w:color w:val="auto"/>
          <w:highlight w:val="none"/>
        </w:rPr>
      </w:pPr>
      <w:r>
        <w:rPr>
          <w:rFonts w:hint="eastAsia"/>
          <w:bCs/>
          <w:color w:val="auto"/>
          <w:highlight w:val="none"/>
        </w:rPr>
        <w:t>特别不规则的建筑不宜采用模块化框架或模块化剪力墙结构。</w:t>
      </w:r>
    </w:p>
    <w:p>
      <w:pPr>
        <w:numPr>
          <w:ilvl w:val="0"/>
          <w:numId w:val="10"/>
        </w:numPr>
        <w:rPr>
          <w:bCs/>
          <w:color w:val="auto"/>
          <w:highlight w:val="none"/>
        </w:rPr>
      </w:pPr>
      <w:r>
        <w:rPr>
          <w:rFonts w:hint="eastAsia"/>
          <w:bCs/>
          <w:color w:val="auto"/>
          <w:highlight w:val="none"/>
        </w:rPr>
        <w:t>带转换层的模块化剪力墙结构底部框支层不宜超过2层，且框支层（含转换梁、转换柱）及相邻上一层应采用现浇混凝土结构。</w:t>
      </w:r>
    </w:p>
    <w:p>
      <w:pPr>
        <w:numPr>
          <w:ilvl w:val="0"/>
          <w:numId w:val="10"/>
        </w:numPr>
        <w:rPr>
          <w:bCs/>
          <w:color w:val="auto"/>
          <w:highlight w:val="none"/>
        </w:rPr>
      </w:pPr>
      <w:r>
        <w:rPr>
          <w:rFonts w:hint="eastAsia"/>
          <w:bCs/>
          <w:color w:val="auto"/>
          <w:highlight w:val="none"/>
        </w:rPr>
        <w:t>模块化框架结构的悬挑应符合下列规定：</w:t>
      </w:r>
    </w:p>
    <w:p>
      <w:pPr>
        <w:ind w:firstLine="421" w:firstLineChars="200"/>
        <w:rPr>
          <w:color w:val="auto"/>
          <w:highlight w:val="none"/>
        </w:rPr>
      </w:pPr>
      <w:r>
        <w:rPr>
          <w:b/>
          <w:color w:val="auto"/>
          <w:highlight w:val="none"/>
        </w:rPr>
        <w:t xml:space="preserve">1  </w:t>
      </w:r>
      <w:r>
        <w:rPr>
          <w:rFonts w:hint="eastAsia"/>
          <w:color w:val="auto"/>
          <w:highlight w:val="none"/>
        </w:rPr>
        <w:t>悬挑宜</w:t>
      </w:r>
      <w:r>
        <w:rPr>
          <w:color w:val="auto"/>
          <w:highlight w:val="none"/>
        </w:rPr>
        <w:t>在模块长边方向向外挑出，</w:t>
      </w:r>
      <w:r>
        <w:rPr>
          <w:rFonts w:hint="eastAsia"/>
          <w:color w:val="auto"/>
          <w:highlight w:val="none"/>
        </w:rPr>
        <w:t>悬挑</w:t>
      </w:r>
      <w:r>
        <w:rPr>
          <w:color w:val="auto"/>
          <w:highlight w:val="none"/>
        </w:rPr>
        <w:t>尺寸不</w:t>
      </w:r>
      <w:r>
        <w:rPr>
          <w:rFonts w:hint="eastAsia"/>
          <w:color w:val="auto"/>
          <w:highlight w:val="none"/>
        </w:rPr>
        <w:t>宜</w:t>
      </w:r>
      <w:r>
        <w:rPr>
          <w:color w:val="auto"/>
          <w:highlight w:val="none"/>
        </w:rPr>
        <w:t>大于</w:t>
      </w:r>
      <w:r>
        <w:rPr>
          <w:rFonts w:hint="eastAsia"/>
          <w:color w:val="auto"/>
          <w:highlight w:val="none"/>
        </w:rPr>
        <w:t>模块悬挑方向</w:t>
      </w:r>
      <w:r>
        <w:rPr>
          <w:color w:val="auto"/>
          <w:highlight w:val="none"/>
        </w:rPr>
        <w:t>长</w:t>
      </w:r>
      <w:r>
        <w:rPr>
          <w:rFonts w:hint="eastAsia"/>
          <w:color w:val="auto"/>
          <w:highlight w:val="none"/>
        </w:rPr>
        <w:t>度</w:t>
      </w:r>
      <w:r>
        <w:rPr>
          <w:color w:val="auto"/>
          <w:highlight w:val="none"/>
        </w:rPr>
        <w:t>的1/4，且不</w:t>
      </w:r>
      <w:r>
        <w:rPr>
          <w:rFonts w:hint="eastAsia"/>
          <w:color w:val="auto"/>
          <w:highlight w:val="none"/>
        </w:rPr>
        <w:t>宜</w:t>
      </w:r>
      <w:r>
        <w:rPr>
          <w:color w:val="auto"/>
          <w:highlight w:val="none"/>
        </w:rPr>
        <w:t>超过2m；</w:t>
      </w:r>
    </w:p>
    <w:p>
      <w:pPr>
        <w:ind w:firstLine="421" w:firstLineChars="200"/>
        <w:rPr>
          <w:color w:val="auto"/>
          <w:highlight w:val="none"/>
        </w:rPr>
      </w:pPr>
      <w:r>
        <w:rPr>
          <w:b/>
          <w:color w:val="auto"/>
          <w:highlight w:val="none"/>
        </w:rPr>
        <w:t xml:space="preserve">2  </w:t>
      </w:r>
      <w:r>
        <w:rPr>
          <w:rFonts w:hint="eastAsia"/>
          <w:color w:val="auto"/>
          <w:highlight w:val="none"/>
        </w:rPr>
        <w:t>悬挑</w:t>
      </w:r>
      <w:r>
        <w:rPr>
          <w:color w:val="auto"/>
          <w:highlight w:val="none"/>
        </w:rPr>
        <w:t>模块</w:t>
      </w:r>
      <w:r>
        <w:rPr>
          <w:rFonts w:hint="eastAsia"/>
          <w:color w:val="auto"/>
          <w:highlight w:val="none"/>
        </w:rPr>
        <w:t>应</w:t>
      </w:r>
      <w:r>
        <w:rPr>
          <w:color w:val="auto"/>
          <w:highlight w:val="none"/>
        </w:rPr>
        <w:t>在悬挑处设置立柱与下</w:t>
      </w:r>
      <w:r>
        <w:rPr>
          <w:rFonts w:hint="eastAsia"/>
          <w:color w:val="auto"/>
          <w:highlight w:val="none"/>
        </w:rPr>
        <w:t>部结构</w:t>
      </w:r>
      <w:r>
        <w:rPr>
          <w:color w:val="auto"/>
          <w:highlight w:val="none"/>
        </w:rPr>
        <w:t>连接。</w:t>
      </w:r>
    </w:p>
    <w:p>
      <w:pPr>
        <w:numPr>
          <w:ilvl w:val="0"/>
          <w:numId w:val="10"/>
        </w:numPr>
        <w:rPr>
          <w:color w:val="auto"/>
          <w:highlight w:val="none"/>
        </w:rPr>
      </w:pPr>
      <w:r>
        <w:rPr>
          <w:rFonts w:hint="eastAsia"/>
          <w:bCs/>
          <w:color w:val="auto"/>
          <w:highlight w:val="none"/>
        </w:rPr>
        <w:t>模块化结构适用的最大高宽比宜符合表5</w:t>
      </w:r>
      <w:r>
        <w:rPr>
          <w:color w:val="auto"/>
          <w:highlight w:val="none"/>
        </w:rPr>
        <w:t>.</w:t>
      </w:r>
      <w:r>
        <w:rPr>
          <w:rFonts w:hint="eastAsia"/>
          <w:bCs/>
          <w:color w:val="auto"/>
          <w:highlight w:val="none"/>
        </w:rPr>
        <w:t>1</w:t>
      </w:r>
      <w:r>
        <w:rPr>
          <w:color w:val="auto"/>
          <w:highlight w:val="none"/>
        </w:rPr>
        <w:t>.</w:t>
      </w:r>
      <w:r>
        <w:rPr>
          <w:rFonts w:hint="eastAsia"/>
          <w:bCs/>
          <w:color w:val="auto"/>
          <w:highlight w:val="none"/>
          <w:lang w:val="en-US" w:eastAsia="zh-CN"/>
        </w:rPr>
        <w:t>9</w:t>
      </w:r>
      <w:r>
        <w:rPr>
          <w:rFonts w:hint="eastAsia"/>
          <w:bCs/>
          <w:color w:val="auto"/>
          <w:highlight w:val="none"/>
        </w:rPr>
        <w:t>的规定。</w:t>
      </w:r>
    </w:p>
    <w:p>
      <w:pPr>
        <w:pStyle w:val="54"/>
        <w:ind w:left="190"/>
        <w:rPr>
          <w:rFonts w:eastAsia="仿宋"/>
          <w:b/>
          <w:bCs/>
          <w:color w:val="auto"/>
          <w:sz w:val="21"/>
          <w:szCs w:val="24"/>
          <w:highlight w:val="none"/>
        </w:rPr>
      </w:pPr>
      <w:r>
        <w:rPr>
          <w:rFonts w:eastAsia="仿宋"/>
          <w:b/>
          <w:bCs/>
          <w:color w:val="auto"/>
          <w:sz w:val="21"/>
          <w:szCs w:val="24"/>
          <w:highlight w:val="none"/>
        </w:rPr>
        <w:t>表5</w:t>
      </w:r>
      <w:r>
        <w:rPr>
          <w:rFonts w:hint="eastAsia" w:ascii="宋体" w:hAnsi="宋体" w:eastAsia="宋体" w:cs="宋体"/>
          <w:b/>
          <w:bCs/>
          <w:color w:val="auto"/>
          <w:sz w:val="21"/>
          <w:szCs w:val="24"/>
          <w:highlight w:val="none"/>
        </w:rPr>
        <w:t>.</w:t>
      </w:r>
      <w:r>
        <w:rPr>
          <w:rFonts w:eastAsia="仿宋"/>
          <w:b/>
          <w:bCs/>
          <w:color w:val="auto"/>
          <w:sz w:val="21"/>
          <w:szCs w:val="24"/>
          <w:highlight w:val="none"/>
        </w:rPr>
        <w:t>1</w:t>
      </w:r>
      <w:r>
        <w:rPr>
          <w:rFonts w:hint="eastAsia" w:ascii="宋体" w:hAnsi="宋体" w:eastAsia="宋体" w:cs="宋体"/>
          <w:b/>
          <w:bCs/>
          <w:color w:val="auto"/>
          <w:sz w:val="21"/>
          <w:szCs w:val="24"/>
          <w:highlight w:val="none"/>
        </w:rPr>
        <w:t>.</w:t>
      </w:r>
      <w:r>
        <w:rPr>
          <w:rFonts w:hint="eastAsia" w:eastAsia="仿宋"/>
          <w:b/>
          <w:bCs/>
          <w:color w:val="auto"/>
          <w:sz w:val="21"/>
          <w:szCs w:val="24"/>
          <w:highlight w:val="none"/>
        </w:rPr>
        <w:t>9</w:t>
      </w:r>
      <w:r>
        <w:rPr>
          <w:rFonts w:eastAsia="仿宋"/>
          <w:b/>
          <w:bCs/>
          <w:color w:val="auto"/>
          <w:sz w:val="21"/>
          <w:szCs w:val="24"/>
          <w:highlight w:val="none"/>
        </w:rPr>
        <w:t xml:space="preserve">  模块化结构适用的最大高宽比</w:t>
      </w:r>
    </w:p>
    <w:tbl>
      <w:tblPr>
        <w:tblStyle w:val="24"/>
        <w:tblW w:w="444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617"/>
        <w:gridCol w:w="3421"/>
        <w:gridCol w:w="1188"/>
        <w:gridCol w:w="11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tblHeader/>
          <w:jc w:val="center"/>
        </w:trPr>
        <w:tc>
          <w:tcPr>
            <w:tcW w:w="3585" w:type="pct"/>
            <w:gridSpan w:val="2"/>
            <w:vMerge w:val="restart"/>
            <w:vAlign w:val="center"/>
          </w:tcPr>
          <w:p>
            <w:pPr>
              <w:autoSpaceDE w:val="0"/>
              <w:autoSpaceDN w:val="0"/>
              <w:adjustRightInd w:val="0"/>
              <w:snapToGrid w:val="0"/>
              <w:jc w:val="center"/>
              <w:rPr>
                <w:rFonts w:eastAsia="仿宋"/>
                <w:color w:val="auto"/>
                <w:kern w:val="0"/>
                <w:szCs w:val="21"/>
                <w:highlight w:val="none"/>
              </w:rPr>
            </w:pPr>
            <w:r>
              <w:rPr>
                <w:rFonts w:eastAsia="仿宋"/>
                <w:color w:val="auto"/>
                <w:kern w:val="0"/>
                <w:szCs w:val="21"/>
                <w:highlight w:val="none"/>
              </w:rPr>
              <w:t>结构类型</w:t>
            </w:r>
          </w:p>
        </w:tc>
        <w:tc>
          <w:tcPr>
            <w:tcW w:w="1415" w:type="pct"/>
            <w:gridSpan w:val="2"/>
            <w:vAlign w:val="center"/>
          </w:tcPr>
          <w:p>
            <w:pPr>
              <w:autoSpaceDE w:val="0"/>
              <w:autoSpaceDN w:val="0"/>
              <w:adjustRightInd w:val="0"/>
              <w:snapToGrid w:val="0"/>
              <w:jc w:val="center"/>
              <w:rPr>
                <w:rFonts w:eastAsia="仿宋"/>
                <w:color w:val="auto"/>
                <w:kern w:val="0"/>
                <w:szCs w:val="21"/>
                <w:highlight w:val="none"/>
              </w:rPr>
            </w:pPr>
            <w:r>
              <w:rPr>
                <w:rFonts w:eastAsia="仿宋"/>
                <w:color w:val="auto"/>
                <w:kern w:val="0"/>
                <w:szCs w:val="21"/>
                <w:highlight w:val="none"/>
              </w:rPr>
              <w:t>抗震设防烈度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tblHeader/>
          <w:jc w:val="center"/>
        </w:trPr>
        <w:tc>
          <w:tcPr>
            <w:tcW w:w="3585" w:type="pct"/>
            <w:gridSpan w:val="2"/>
            <w:vMerge w:val="continue"/>
            <w:vAlign w:val="center"/>
          </w:tcPr>
          <w:p>
            <w:pPr>
              <w:autoSpaceDE w:val="0"/>
              <w:autoSpaceDN w:val="0"/>
              <w:adjustRightInd w:val="0"/>
              <w:snapToGrid w:val="0"/>
              <w:jc w:val="center"/>
              <w:rPr>
                <w:rFonts w:eastAsia="仿宋"/>
                <w:color w:val="auto"/>
                <w:kern w:val="0"/>
                <w:szCs w:val="21"/>
                <w:highlight w:val="none"/>
              </w:rPr>
            </w:pPr>
          </w:p>
        </w:tc>
        <w:tc>
          <w:tcPr>
            <w:tcW w:w="705" w:type="pct"/>
            <w:vAlign w:val="center"/>
          </w:tcPr>
          <w:p>
            <w:pPr>
              <w:autoSpaceDE w:val="0"/>
              <w:autoSpaceDN w:val="0"/>
              <w:adjustRightInd w:val="0"/>
              <w:snapToGrid w:val="0"/>
              <w:jc w:val="center"/>
              <w:rPr>
                <w:rFonts w:eastAsia="仿宋"/>
                <w:color w:val="auto"/>
                <w:kern w:val="0"/>
                <w:szCs w:val="21"/>
                <w:highlight w:val="none"/>
              </w:rPr>
            </w:pPr>
            <w:r>
              <w:rPr>
                <w:rFonts w:eastAsia="仿宋"/>
                <w:color w:val="auto"/>
                <w:kern w:val="0"/>
                <w:szCs w:val="21"/>
                <w:highlight w:val="none"/>
              </w:rPr>
              <w:t>7度</w:t>
            </w:r>
          </w:p>
        </w:tc>
        <w:tc>
          <w:tcPr>
            <w:tcW w:w="711" w:type="pct"/>
            <w:vAlign w:val="center"/>
          </w:tcPr>
          <w:p>
            <w:pPr>
              <w:autoSpaceDE w:val="0"/>
              <w:autoSpaceDN w:val="0"/>
              <w:adjustRightInd w:val="0"/>
              <w:snapToGrid w:val="0"/>
              <w:jc w:val="center"/>
              <w:rPr>
                <w:rFonts w:eastAsia="仿宋"/>
                <w:color w:val="auto"/>
                <w:kern w:val="0"/>
                <w:szCs w:val="21"/>
                <w:highlight w:val="none"/>
              </w:rPr>
            </w:pPr>
            <w:r>
              <w:rPr>
                <w:rFonts w:eastAsia="仿宋"/>
                <w:color w:val="auto"/>
                <w:kern w:val="0"/>
                <w:szCs w:val="21"/>
                <w:highlight w:val="none"/>
              </w:rPr>
              <w:t>8度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3585" w:type="pct"/>
            <w:gridSpan w:val="2"/>
            <w:vAlign w:val="center"/>
          </w:tcPr>
          <w:p>
            <w:pPr>
              <w:autoSpaceDE w:val="0"/>
              <w:autoSpaceDN w:val="0"/>
              <w:adjustRightInd w:val="0"/>
              <w:snapToGrid w:val="0"/>
              <w:jc w:val="center"/>
              <w:rPr>
                <w:rFonts w:eastAsia="仿宋"/>
                <w:color w:val="auto"/>
                <w:kern w:val="0"/>
                <w:szCs w:val="21"/>
                <w:highlight w:val="none"/>
              </w:rPr>
            </w:pPr>
            <w:r>
              <w:rPr>
                <w:rFonts w:eastAsia="仿宋"/>
                <w:color w:val="auto"/>
                <w:kern w:val="0"/>
                <w:szCs w:val="21"/>
                <w:highlight w:val="none"/>
              </w:rPr>
              <w:t>模块化框架结构</w:t>
            </w:r>
          </w:p>
        </w:tc>
        <w:tc>
          <w:tcPr>
            <w:tcW w:w="705" w:type="pct"/>
            <w:vAlign w:val="center"/>
          </w:tcPr>
          <w:p>
            <w:pPr>
              <w:autoSpaceDE w:val="0"/>
              <w:autoSpaceDN w:val="0"/>
              <w:adjustRightInd w:val="0"/>
              <w:snapToGrid w:val="0"/>
              <w:jc w:val="center"/>
              <w:rPr>
                <w:rFonts w:eastAsia="仿宋"/>
                <w:color w:val="auto"/>
                <w:kern w:val="0"/>
                <w:szCs w:val="21"/>
                <w:highlight w:val="none"/>
              </w:rPr>
            </w:pPr>
            <w:r>
              <w:rPr>
                <w:rFonts w:eastAsia="仿宋"/>
                <w:color w:val="auto"/>
                <w:kern w:val="0"/>
                <w:szCs w:val="21"/>
                <w:highlight w:val="none"/>
              </w:rPr>
              <w:t>4</w:t>
            </w:r>
          </w:p>
        </w:tc>
        <w:tc>
          <w:tcPr>
            <w:tcW w:w="711" w:type="pct"/>
            <w:vAlign w:val="center"/>
          </w:tcPr>
          <w:p>
            <w:pPr>
              <w:autoSpaceDE w:val="0"/>
              <w:autoSpaceDN w:val="0"/>
              <w:adjustRightInd w:val="0"/>
              <w:snapToGrid w:val="0"/>
              <w:jc w:val="center"/>
              <w:rPr>
                <w:rFonts w:eastAsia="仿宋"/>
                <w:color w:val="auto"/>
                <w:kern w:val="0"/>
                <w:szCs w:val="21"/>
                <w:highlight w:val="none"/>
              </w:rPr>
            </w:pPr>
            <w:r>
              <w:rPr>
                <w:rFonts w:eastAsia="仿宋"/>
                <w:color w:val="auto"/>
                <w:kern w:val="0"/>
                <w:szCs w:val="21"/>
                <w:highlight w:val="none"/>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3585" w:type="pct"/>
            <w:gridSpan w:val="2"/>
            <w:vAlign w:val="center"/>
          </w:tcPr>
          <w:p>
            <w:pPr>
              <w:autoSpaceDE w:val="0"/>
              <w:autoSpaceDN w:val="0"/>
              <w:adjustRightInd w:val="0"/>
              <w:snapToGrid w:val="0"/>
              <w:jc w:val="center"/>
              <w:rPr>
                <w:rFonts w:eastAsia="仿宋"/>
                <w:color w:val="auto"/>
                <w:kern w:val="0"/>
                <w:szCs w:val="21"/>
                <w:highlight w:val="none"/>
              </w:rPr>
            </w:pPr>
            <w:r>
              <w:rPr>
                <w:rFonts w:hint="eastAsia" w:eastAsia="仿宋"/>
                <w:color w:val="auto"/>
                <w:kern w:val="0"/>
                <w:szCs w:val="21"/>
                <w:highlight w:val="none"/>
              </w:rPr>
              <w:t>模块化全预制剪力墙结构</w:t>
            </w:r>
          </w:p>
        </w:tc>
        <w:tc>
          <w:tcPr>
            <w:tcW w:w="705" w:type="pct"/>
            <w:vAlign w:val="center"/>
          </w:tcPr>
          <w:p>
            <w:pPr>
              <w:autoSpaceDE w:val="0"/>
              <w:autoSpaceDN w:val="0"/>
              <w:adjustRightInd w:val="0"/>
              <w:snapToGrid w:val="0"/>
              <w:jc w:val="center"/>
              <w:rPr>
                <w:rFonts w:eastAsia="仿宋"/>
                <w:color w:val="auto"/>
                <w:kern w:val="0"/>
                <w:szCs w:val="21"/>
                <w:highlight w:val="none"/>
              </w:rPr>
            </w:pPr>
            <w:r>
              <w:rPr>
                <w:rFonts w:eastAsia="仿宋"/>
                <w:color w:val="auto"/>
                <w:kern w:val="0"/>
                <w:szCs w:val="21"/>
                <w:highlight w:val="none"/>
              </w:rPr>
              <w:t>6</w:t>
            </w:r>
          </w:p>
        </w:tc>
        <w:tc>
          <w:tcPr>
            <w:tcW w:w="711" w:type="pct"/>
            <w:vAlign w:val="center"/>
          </w:tcPr>
          <w:p>
            <w:pPr>
              <w:autoSpaceDE w:val="0"/>
              <w:autoSpaceDN w:val="0"/>
              <w:adjustRightInd w:val="0"/>
              <w:snapToGrid w:val="0"/>
              <w:jc w:val="center"/>
              <w:rPr>
                <w:rFonts w:eastAsia="仿宋"/>
                <w:color w:val="auto"/>
                <w:kern w:val="0"/>
                <w:szCs w:val="21"/>
                <w:highlight w:val="none"/>
              </w:rPr>
            </w:pPr>
            <w:r>
              <w:rPr>
                <w:rFonts w:eastAsia="仿宋"/>
                <w:color w:val="auto"/>
                <w:kern w:val="0"/>
                <w:szCs w:val="21"/>
                <w:highlight w:val="none"/>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3585" w:type="pct"/>
            <w:gridSpan w:val="2"/>
            <w:vAlign w:val="center"/>
          </w:tcPr>
          <w:p>
            <w:pPr>
              <w:autoSpaceDE w:val="0"/>
              <w:autoSpaceDN w:val="0"/>
              <w:adjustRightInd w:val="0"/>
              <w:snapToGrid w:val="0"/>
              <w:jc w:val="center"/>
              <w:rPr>
                <w:rFonts w:eastAsia="仿宋"/>
                <w:color w:val="auto"/>
                <w:kern w:val="0"/>
                <w:szCs w:val="21"/>
                <w:highlight w:val="none"/>
              </w:rPr>
            </w:pPr>
            <w:r>
              <w:rPr>
                <w:rFonts w:eastAsia="仿宋"/>
                <w:color w:val="auto"/>
                <w:kern w:val="0"/>
                <w:szCs w:val="21"/>
                <w:highlight w:val="none"/>
              </w:rPr>
              <w:t>模块化叠合剪力墙结构</w:t>
            </w:r>
          </w:p>
        </w:tc>
        <w:tc>
          <w:tcPr>
            <w:tcW w:w="705" w:type="pct"/>
            <w:vAlign w:val="center"/>
          </w:tcPr>
          <w:p>
            <w:pPr>
              <w:autoSpaceDE w:val="0"/>
              <w:autoSpaceDN w:val="0"/>
              <w:adjustRightInd w:val="0"/>
              <w:snapToGrid w:val="0"/>
              <w:jc w:val="center"/>
              <w:rPr>
                <w:rFonts w:eastAsia="仿宋"/>
                <w:color w:val="auto"/>
                <w:kern w:val="0"/>
                <w:szCs w:val="21"/>
                <w:highlight w:val="none"/>
              </w:rPr>
            </w:pPr>
            <w:r>
              <w:rPr>
                <w:rFonts w:eastAsia="仿宋"/>
                <w:color w:val="auto"/>
                <w:kern w:val="0"/>
                <w:szCs w:val="21"/>
                <w:highlight w:val="none"/>
              </w:rPr>
              <w:t>6</w:t>
            </w:r>
          </w:p>
        </w:tc>
        <w:tc>
          <w:tcPr>
            <w:tcW w:w="711" w:type="pct"/>
            <w:vAlign w:val="center"/>
          </w:tcPr>
          <w:p>
            <w:pPr>
              <w:autoSpaceDE w:val="0"/>
              <w:autoSpaceDN w:val="0"/>
              <w:adjustRightInd w:val="0"/>
              <w:snapToGrid w:val="0"/>
              <w:jc w:val="center"/>
              <w:rPr>
                <w:rFonts w:eastAsia="仿宋"/>
                <w:color w:val="auto"/>
                <w:kern w:val="0"/>
                <w:szCs w:val="21"/>
                <w:highlight w:val="none"/>
              </w:rPr>
            </w:pPr>
            <w:r>
              <w:rPr>
                <w:rFonts w:eastAsia="仿宋"/>
                <w:color w:val="auto"/>
                <w:kern w:val="0"/>
                <w:szCs w:val="21"/>
                <w:highlight w:val="none"/>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554" w:type="pct"/>
            <w:vMerge w:val="restart"/>
            <w:vAlign w:val="center"/>
          </w:tcPr>
          <w:p>
            <w:pPr>
              <w:autoSpaceDE w:val="0"/>
              <w:autoSpaceDN w:val="0"/>
              <w:adjustRightInd w:val="0"/>
              <w:snapToGrid w:val="0"/>
              <w:jc w:val="center"/>
              <w:rPr>
                <w:rFonts w:eastAsia="仿宋"/>
                <w:color w:val="auto"/>
                <w:kern w:val="0"/>
                <w:szCs w:val="21"/>
                <w:highlight w:val="none"/>
              </w:rPr>
            </w:pPr>
            <w:r>
              <w:rPr>
                <w:rFonts w:eastAsia="仿宋"/>
                <w:color w:val="auto"/>
                <w:kern w:val="0"/>
                <w:szCs w:val="21"/>
                <w:highlight w:val="none"/>
              </w:rPr>
              <w:t>模块化箱模结构</w:t>
            </w:r>
          </w:p>
        </w:tc>
        <w:tc>
          <w:tcPr>
            <w:tcW w:w="2030" w:type="pct"/>
            <w:vAlign w:val="center"/>
          </w:tcPr>
          <w:p>
            <w:pPr>
              <w:autoSpaceDE w:val="0"/>
              <w:autoSpaceDN w:val="0"/>
              <w:adjustRightInd w:val="0"/>
              <w:snapToGrid w:val="0"/>
              <w:jc w:val="center"/>
              <w:rPr>
                <w:rFonts w:eastAsia="仿宋"/>
                <w:color w:val="auto"/>
                <w:kern w:val="0"/>
                <w:szCs w:val="21"/>
                <w:highlight w:val="none"/>
              </w:rPr>
            </w:pPr>
            <w:r>
              <w:rPr>
                <w:rFonts w:eastAsia="仿宋"/>
                <w:color w:val="auto"/>
                <w:kern w:val="0"/>
                <w:szCs w:val="21"/>
                <w:highlight w:val="none"/>
              </w:rPr>
              <w:t>箱模框架结构</w:t>
            </w:r>
          </w:p>
        </w:tc>
        <w:tc>
          <w:tcPr>
            <w:tcW w:w="705" w:type="pct"/>
            <w:vAlign w:val="center"/>
          </w:tcPr>
          <w:p>
            <w:pPr>
              <w:autoSpaceDE w:val="0"/>
              <w:autoSpaceDN w:val="0"/>
              <w:adjustRightInd w:val="0"/>
              <w:snapToGrid w:val="0"/>
              <w:jc w:val="center"/>
              <w:rPr>
                <w:rFonts w:eastAsia="仿宋"/>
                <w:color w:val="auto"/>
                <w:kern w:val="0"/>
                <w:szCs w:val="21"/>
                <w:highlight w:val="none"/>
              </w:rPr>
            </w:pPr>
            <w:r>
              <w:rPr>
                <w:rFonts w:eastAsia="仿宋"/>
                <w:color w:val="auto"/>
                <w:kern w:val="0"/>
                <w:szCs w:val="21"/>
                <w:highlight w:val="none"/>
              </w:rPr>
              <w:t>4</w:t>
            </w:r>
          </w:p>
        </w:tc>
        <w:tc>
          <w:tcPr>
            <w:tcW w:w="711" w:type="pct"/>
            <w:vAlign w:val="center"/>
          </w:tcPr>
          <w:p>
            <w:pPr>
              <w:autoSpaceDE w:val="0"/>
              <w:autoSpaceDN w:val="0"/>
              <w:adjustRightInd w:val="0"/>
              <w:snapToGrid w:val="0"/>
              <w:jc w:val="center"/>
              <w:rPr>
                <w:rFonts w:eastAsia="仿宋"/>
                <w:color w:val="auto"/>
                <w:kern w:val="0"/>
                <w:szCs w:val="21"/>
                <w:highlight w:val="none"/>
              </w:rPr>
            </w:pPr>
            <w:r>
              <w:rPr>
                <w:rFonts w:eastAsia="仿宋"/>
                <w:color w:val="auto"/>
                <w:kern w:val="0"/>
                <w:szCs w:val="21"/>
                <w:highlight w:val="none"/>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554" w:type="pct"/>
            <w:vMerge w:val="continue"/>
            <w:vAlign w:val="center"/>
          </w:tcPr>
          <w:p>
            <w:pPr>
              <w:autoSpaceDE w:val="0"/>
              <w:autoSpaceDN w:val="0"/>
              <w:adjustRightInd w:val="0"/>
              <w:snapToGrid w:val="0"/>
              <w:jc w:val="center"/>
              <w:rPr>
                <w:rFonts w:eastAsia="仿宋"/>
                <w:color w:val="auto"/>
                <w:kern w:val="0"/>
                <w:szCs w:val="21"/>
                <w:highlight w:val="none"/>
              </w:rPr>
            </w:pPr>
          </w:p>
        </w:tc>
        <w:tc>
          <w:tcPr>
            <w:tcW w:w="2030" w:type="pct"/>
            <w:vAlign w:val="center"/>
          </w:tcPr>
          <w:p>
            <w:pPr>
              <w:autoSpaceDE w:val="0"/>
              <w:autoSpaceDN w:val="0"/>
              <w:adjustRightInd w:val="0"/>
              <w:snapToGrid w:val="0"/>
              <w:jc w:val="center"/>
              <w:rPr>
                <w:rFonts w:eastAsia="仿宋"/>
                <w:color w:val="auto"/>
                <w:kern w:val="0"/>
                <w:szCs w:val="21"/>
                <w:highlight w:val="none"/>
              </w:rPr>
            </w:pPr>
            <w:r>
              <w:rPr>
                <w:rFonts w:eastAsia="仿宋"/>
                <w:color w:val="auto"/>
                <w:kern w:val="0"/>
                <w:szCs w:val="21"/>
                <w:highlight w:val="none"/>
              </w:rPr>
              <w:t>箱模框架-剪力墙结构</w:t>
            </w:r>
          </w:p>
        </w:tc>
        <w:tc>
          <w:tcPr>
            <w:tcW w:w="705" w:type="pct"/>
            <w:vAlign w:val="center"/>
          </w:tcPr>
          <w:p>
            <w:pPr>
              <w:autoSpaceDE w:val="0"/>
              <w:autoSpaceDN w:val="0"/>
              <w:adjustRightInd w:val="0"/>
              <w:snapToGrid w:val="0"/>
              <w:jc w:val="center"/>
              <w:rPr>
                <w:rFonts w:eastAsia="仿宋"/>
                <w:color w:val="auto"/>
                <w:kern w:val="0"/>
                <w:szCs w:val="21"/>
                <w:highlight w:val="none"/>
              </w:rPr>
            </w:pPr>
            <w:r>
              <w:rPr>
                <w:rFonts w:eastAsia="仿宋"/>
                <w:color w:val="auto"/>
                <w:kern w:val="0"/>
                <w:szCs w:val="21"/>
                <w:highlight w:val="none"/>
              </w:rPr>
              <w:t>6</w:t>
            </w:r>
          </w:p>
        </w:tc>
        <w:tc>
          <w:tcPr>
            <w:tcW w:w="711" w:type="pct"/>
            <w:vAlign w:val="center"/>
          </w:tcPr>
          <w:p>
            <w:pPr>
              <w:autoSpaceDE w:val="0"/>
              <w:autoSpaceDN w:val="0"/>
              <w:adjustRightInd w:val="0"/>
              <w:snapToGrid w:val="0"/>
              <w:jc w:val="center"/>
              <w:rPr>
                <w:rFonts w:eastAsia="仿宋"/>
                <w:color w:val="auto"/>
                <w:kern w:val="0"/>
                <w:szCs w:val="21"/>
                <w:highlight w:val="none"/>
              </w:rPr>
            </w:pPr>
            <w:r>
              <w:rPr>
                <w:rFonts w:eastAsia="仿宋"/>
                <w:color w:val="auto"/>
                <w:kern w:val="0"/>
                <w:szCs w:val="21"/>
                <w:highlight w:val="none"/>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554" w:type="pct"/>
            <w:vMerge w:val="continue"/>
            <w:vAlign w:val="center"/>
          </w:tcPr>
          <w:p>
            <w:pPr>
              <w:autoSpaceDE w:val="0"/>
              <w:autoSpaceDN w:val="0"/>
              <w:adjustRightInd w:val="0"/>
              <w:snapToGrid w:val="0"/>
              <w:jc w:val="center"/>
              <w:rPr>
                <w:rFonts w:eastAsia="仿宋"/>
                <w:color w:val="auto"/>
                <w:kern w:val="0"/>
                <w:szCs w:val="21"/>
                <w:highlight w:val="none"/>
              </w:rPr>
            </w:pPr>
          </w:p>
        </w:tc>
        <w:tc>
          <w:tcPr>
            <w:tcW w:w="2030" w:type="pct"/>
            <w:vAlign w:val="center"/>
          </w:tcPr>
          <w:p>
            <w:pPr>
              <w:autoSpaceDE w:val="0"/>
              <w:autoSpaceDN w:val="0"/>
              <w:adjustRightInd w:val="0"/>
              <w:snapToGrid w:val="0"/>
              <w:jc w:val="center"/>
              <w:rPr>
                <w:rFonts w:eastAsia="仿宋"/>
                <w:color w:val="auto"/>
                <w:kern w:val="0"/>
                <w:szCs w:val="21"/>
                <w:highlight w:val="none"/>
              </w:rPr>
            </w:pPr>
            <w:r>
              <w:rPr>
                <w:rFonts w:eastAsia="仿宋"/>
                <w:color w:val="auto"/>
                <w:kern w:val="0"/>
                <w:szCs w:val="21"/>
                <w:highlight w:val="none"/>
              </w:rPr>
              <w:t>箱模剪力墙结构</w:t>
            </w:r>
          </w:p>
        </w:tc>
        <w:tc>
          <w:tcPr>
            <w:tcW w:w="705" w:type="pct"/>
            <w:vAlign w:val="center"/>
          </w:tcPr>
          <w:p>
            <w:pPr>
              <w:autoSpaceDE w:val="0"/>
              <w:autoSpaceDN w:val="0"/>
              <w:adjustRightInd w:val="0"/>
              <w:snapToGrid w:val="0"/>
              <w:jc w:val="center"/>
              <w:rPr>
                <w:rFonts w:eastAsia="仿宋"/>
                <w:color w:val="auto"/>
                <w:kern w:val="0"/>
                <w:szCs w:val="21"/>
                <w:highlight w:val="none"/>
              </w:rPr>
            </w:pPr>
            <w:r>
              <w:rPr>
                <w:rFonts w:eastAsia="仿宋"/>
                <w:color w:val="auto"/>
                <w:kern w:val="0"/>
                <w:szCs w:val="21"/>
                <w:highlight w:val="none"/>
              </w:rPr>
              <w:t>6</w:t>
            </w:r>
          </w:p>
        </w:tc>
        <w:tc>
          <w:tcPr>
            <w:tcW w:w="711" w:type="pct"/>
            <w:vAlign w:val="center"/>
          </w:tcPr>
          <w:p>
            <w:pPr>
              <w:autoSpaceDE w:val="0"/>
              <w:autoSpaceDN w:val="0"/>
              <w:adjustRightInd w:val="0"/>
              <w:snapToGrid w:val="0"/>
              <w:jc w:val="center"/>
              <w:rPr>
                <w:rFonts w:eastAsia="仿宋"/>
                <w:color w:val="auto"/>
                <w:kern w:val="0"/>
                <w:szCs w:val="21"/>
                <w:highlight w:val="none"/>
              </w:rPr>
            </w:pPr>
            <w:r>
              <w:rPr>
                <w:rFonts w:eastAsia="仿宋"/>
                <w:color w:val="auto"/>
                <w:kern w:val="0"/>
                <w:szCs w:val="21"/>
                <w:highlight w:val="none"/>
              </w:rPr>
              <w:t>5</w:t>
            </w:r>
          </w:p>
        </w:tc>
      </w:tr>
    </w:tbl>
    <w:p>
      <w:pPr>
        <w:pStyle w:val="56"/>
        <w:ind w:firstLine="360" w:firstLineChars="200"/>
        <w:rPr>
          <w:rFonts w:eastAsia="仿宋"/>
          <w:color w:val="auto"/>
          <w:sz w:val="18"/>
          <w:szCs w:val="18"/>
          <w:highlight w:val="none"/>
        </w:rPr>
      </w:pPr>
      <w:r>
        <w:rPr>
          <w:rFonts w:hint="eastAsia" w:eastAsia="仿宋"/>
          <w:color w:val="auto"/>
          <w:sz w:val="18"/>
          <w:szCs w:val="18"/>
          <w:highlight w:val="none"/>
        </w:rPr>
        <w:t>注：对于模块化剪力墙结构，在多遇地震作用下，当预制剪力墙构件底部承担的总剪力大于该层总剪力的50%时，其适用的最大高宽比宜比表内数值降低1。</w:t>
      </w:r>
    </w:p>
    <w:p>
      <w:pPr>
        <w:numPr>
          <w:ilvl w:val="0"/>
          <w:numId w:val="10"/>
        </w:numPr>
        <w:rPr>
          <w:bCs/>
          <w:color w:val="auto"/>
          <w:highlight w:val="none"/>
        </w:rPr>
      </w:pPr>
      <w:r>
        <w:rPr>
          <w:rFonts w:hint="eastAsia"/>
          <w:bCs/>
          <w:color w:val="auto"/>
          <w:highlight w:val="none"/>
        </w:rPr>
        <w:t>建筑非结构构件和建筑附属设备应采取必要的抗震措施，并应考虑围护结构、非承重墙体对结构抗震的不利影响。</w:t>
      </w:r>
    </w:p>
    <w:p>
      <w:pPr>
        <w:pStyle w:val="4"/>
        <w:rPr>
          <w:color w:val="auto"/>
          <w:highlight w:val="none"/>
        </w:rPr>
      </w:pPr>
      <w:bookmarkStart w:id="410" w:name="_Toc20014"/>
      <w:bookmarkStart w:id="411" w:name="_Toc4693"/>
      <w:bookmarkStart w:id="412" w:name="_Toc23388"/>
      <w:bookmarkStart w:id="413" w:name="_Toc15278"/>
      <w:bookmarkStart w:id="414" w:name="_Toc32592"/>
      <w:bookmarkStart w:id="415" w:name="_Toc2586"/>
      <w:bookmarkStart w:id="416" w:name="_Toc6027"/>
      <w:bookmarkStart w:id="417" w:name="_Toc6590"/>
      <w:bookmarkStart w:id="418" w:name="_Toc6077"/>
      <w:bookmarkStart w:id="419" w:name="_Toc21993"/>
      <w:bookmarkStart w:id="420" w:name="_Toc28394"/>
      <w:bookmarkStart w:id="421" w:name="_Toc24055"/>
      <w:r>
        <w:rPr>
          <w:rFonts w:hint="eastAsia"/>
          <w:b/>
          <w:bCs w:val="0"/>
          <w:color w:val="auto"/>
          <w:highlight w:val="none"/>
        </w:rPr>
        <w:t>5</w:t>
      </w:r>
      <w:r>
        <w:rPr>
          <w:rFonts w:hint="eastAsia" w:ascii="宋体" w:hAnsi="宋体" w:eastAsia="宋体"/>
          <w:b/>
          <w:bCs w:val="0"/>
          <w:color w:val="auto"/>
          <w:szCs w:val="21"/>
          <w:highlight w:val="none"/>
        </w:rPr>
        <w:t>.</w:t>
      </w:r>
      <w:r>
        <w:rPr>
          <w:b/>
          <w:bCs w:val="0"/>
          <w:color w:val="auto"/>
          <w:highlight w:val="none"/>
        </w:rPr>
        <w:t>2</w:t>
      </w:r>
      <w:r>
        <w:rPr>
          <w:rFonts w:hint="eastAsia"/>
          <w:color w:val="auto"/>
          <w:highlight w:val="none"/>
        </w:rPr>
        <w:t xml:space="preserve">  结构体系</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pPr>
        <w:numPr>
          <w:ilvl w:val="0"/>
          <w:numId w:val="11"/>
        </w:numPr>
        <w:rPr>
          <w:bCs/>
          <w:color w:val="auto"/>
          <w:highlight w:val="none"/>
        </w:rPr>
      </w:pPr>
      <w:r>
        <w:rPr>
          <w:rFonts w:hint="eastAsia"/>
          <w:bCs/>
          <w:color w:val="auto"/>
          <w:highlight w:val="none"/>
        </w:rPr>
        <w:t>本导则涉及的混凝土模块化结构可分为模块化框架结构、模块化剪力墙结构和模块化箱模结构。</w:t>
      </w:r>
    </w:p>
    <w:p>
      <w:pPr>
        <w:numPr>
          <w:ilvl w:val="0"/>
          <w:numId w:val="11"/>
        </w:numPr>
        <w:rPr>
          <w:bCs/>
          <w:color w:val="auto"/>
          <w:highlight w:val="none"/>
        </w:rPr>
      </w:pPr>
      <w:r>
        <w:rPr>
          <w:rFonts w:hint="eastAsia"/>
          <w:bCs/>
          <w:color w:val="auto"/>
          <w:highlight w:val="none"/>
        </w:rPr>
        <w:t>模块化结构应符合下列规定：</w:t>
      </w:r>
    </w:p>
    <w:p>
      <w:pPr>
        <w:ind w:firstLine="632" w:firstLineChars="300"/>
        <w:rPr>
          <w:color w:val="auto"/>
          <w:kern w:val="0"/>
          <w:szCs w:val="24"/>
          <w:highlight w:val="none"/>
        </w:rPr>
      </w:pPr>
      <w:r>
        <w:rPr>
          <w:rFonts w:eastAsia="黑体"/>
          <w:b/>
          <w:color w:val="auto"/>
          <w:highlight w:val="none"/>
        </w:rPr>
        <w:t xml:space="preserve">1  </w:t>
      </w:r>
      <w:r>
        <w:rPr>
          <w:color w:val="auto"/>
          <w:kern w:val="0"/>
          <w:szCs w:val="24"/>
          <w:highlight w:val="none"/>
        </w:rPr>
        <w:t>应具有</w:t>
      </w:r>
      <w:r>
        <w:rPr>
          <w:rFonts w:hint="eastAsia"/>
          <w:color w:val="auto"/>
          <w:kern w:val="0"/>
          <w:szCs w:val="24"/>
          <w:highlight w:val="none"/>
        </w:rPr>
        <w:t>必要</w:t>
      </w:r>
      <w:r>
        <w:rPr>
          <w:color w:val="auto"/>
          <w:kern w:val="0"/>
          <w:szCs w:val="24"/>
          <w:highlight w:val="none"/>
        </w:rPr>
        <w:t>的刚度</w:t>
      </w:r>
      <w:r>
        <w:rPr>
          <w:rFonts w:hint="eastAsia"/>
          <w:color w:val="auto"/>
          <w:kern w:val="0"/>
          <w:szCs w:val="24"/>
          <w:highlight w:val="none"/>
        </w:rPr>
        <w:t>、强度和延性；</w:t>
      </w:r>
    </w:p>
    <w:p>
      <w:pPr>
        <w:ind w:firstLine="632" w:firstLineChars="300"/>
        <w:rPr>
          <w:color w:val="auto"/>
          <w:highlight w:val="none"/>
        </w:rPr>
      </w:pPr>
      <w:r>
        <w:rPr>
          <w:rFonts w:eastAsia="黑体"/>
          <w:b/>
          <w:color w:val="auto"/>
          <w:highlight w:val="none"/>
        </w:rPr>
        <w:t xml:space="preserve">2  </w:t>
      </w:r>
      <w:r>
        <w:rPr>
          <w:color w:val="auto"/>
          <w:highlight w:val="none"/>
        </w:rPr>
        <w:t>应</w:t>
      </w:r>
      <w:r>
        <w:rPr>
          <w:rFonts w:hint="eastAsia"/>
          <w:color w:val="auto"/>
          <w:highlight w:val="none"/>
        </w:rPr>
        <w:t>具有</w:t>
      </w:r>
      <w:r>
        <w:rPr>
          <w:color w:val="auto"/>
          <w:highlight w:val="none"/>
        </w:rPr>
        <w:t>明确的</w:t>
      </w:r>
      <w:r>
        <w:rPr>
          <w:rFonts w:hint="eastAsia"/>
          <w:color w:val="auto"/>
          <w:highlight w:val="none"/>
        </w:rPr>
        <w:t>结构计算简图</w:t>
      </w:r>
      <w:r>
        <w:rPr>
          <w:rFonts w:hint="eastAsia"/>
          <w:color w:val="auto"/>
          <w:kern w:val="0"/>
          <w:szCs w:val="24"/>
          <w:highlight w:val="none"/>
        </w:rPr>
        <w:t>及</w:t>
      </w:r>
      <w:r>
        <w:rPr>
          <w:color w:val="auto"/>
          <w:kern w:val="0"/>
          <w:szCs w:val="24"/>
          <w:highlight w:val="none"/>
        </w:rPr>
        <w:t>荷载传递途径</w:t>
      </w:r>
      <w:r>
        <w:rPr>
          <w:color w:val="auto"/>
          <w:highlight w:val="none"/>
        </w:rPr>
        <w:t>；</w:t>
      </w:r>
    </w:p>
    <w:p>
      <w:pPr>
        <w:ind w:firstLine="632" w:firstLineChars="300"/>
        <w:rPr>
          <w:color w:val="auto"/>
          <w:kern w:val="0"/>
          <w:szCs w:val="24"/>
          <w:highlight w:val="none"/>
        </w:rPr>
      </w:pPr>
      <w:r>
        <w:rPr>
          <w:rFonts w:eastAsia="黑体"/>
          <w:b/>
          <w:color w:val="auto"/>
          <w:kern w:val="0"/>
          <w:szCs w:val="24"/>
          <w:highlight w:val="none"/>
        </w:rPr>
        <w:t xml:space="preserve">3  </w:t>
      </w:r>
      <w:r>
        <w:rPr>
          <w:color w:val="auto"/>
          <w:kern w:val="0"/>
          <w:szCs w:val="24"/>
          <w:highlight w:val="none"/>
        </w:rPr>
        <w:t>应</w:t>
      </w:r>
      <w:r>
        <w:rPr>
          <w:rFonts w:hint="eastAsia"/>
          <w:color w:val="auto"/>
          <w:kern w:val="0"/>
          <w:szCs w:val="24"/>
          <w:highlight w:val="none"/>
        </w:rPr>
        <w:t>通过构造实现结构</w:t>
      </w:r>
      <w:r>
        <w:rPr>
          <w:color w:val="auto"/>
          <w:kern w:val="0"/>
          <w:szCs w:val="24"/>
          <w:highlight w:val="none"/>
        </w:rPr>
        <w:t>足够的冗余度，</w:t>
      </w:r>
      <w:r>
        <w:rPr>
          <w:color w:val="auto"/>
          <w:highlight w:val="none"/>
        </w:rPr>
        <w:t>避免因部分构件或结构破坏导致整个结构体系丧失承载能力</w:t>
      </w:r>
      <w:r>
        <w:rPr>
          <w:color w:val="auto"/>
          <w:kern w:val="0"/>
          <w:szCs w:val="24"/>
          <w:highlight w:val="none"/>
        </w:rPr>
        <w:t>。</w:t>
      </w:r>
    </w:p>
    <w:p>
      <w:pPr>
        <w:numPr>
          <w:ilvl w:val="0"/>
          <w:numId w:val="11"/>
        </w:numPr>
        <w:rPr>
          <w:bCs/>
          <w:color w:val="auto"/>
          <w:highlight w:val="none"/>
        </w:rPr>
      </w:pPr>
      <w:r>
        <w:rPr>
          <w:rFonts w:hint="eastAsia"/>
          <w:bCs/>
          <w:color w:val="auto"/>
          <w:highlight w:val="none"/>
        </w:rPr>
        <w:t>模块化结构的连接节点，应符合下列规定：</w:t>
      </w:r>
    </w:p>
    <w:p>
      <w:pPr>
        <w:ind w:firstLine="632" w:firstLineChars="300"/>
        <w:rPr>
          <w:color w:val="auto"/>
          <w:highlight w:val="none"/>
        </w:rPr>
      </w:pPr>
      <w:r>
        <w:rPr>
          <w:rFonts w:hint="eastAsia"/>
          <w:b/>
          <w:color w:val="auto"/>
          <w:highlight w:val="none"/>
        </w:rPr>
        <w:t>1</w:t>
      </w:r>
      <w:r>
        <w:rPr>
          <w:rFonts w:hint="eastAsia"/>
          <w:color w:val="auto"/>
          <w:highlight w:val="none"/>
        </w:rPr>
        <w:t xml:space="preserve">  构件连接节点的破坏，不应先于其连接构件的破坏；</w:t>
      </w:r>
    </w:p>
    <w:p>
      <w:pPr>
        <w:ind w:firstLine="632" w:firstLineChars="300"/>
        <w:rPr>
          <w:color w:val="auto"/>
          <w:highlight w:val="none"/>
        </w:rPr>
      </w:pPr>
      <w:r>
        <w:rPr>
          <w:rFonts w:hint="eastAsia"/>
          <w:b/>
          <w:color w:val="auto"/>
          <w:highlight w:val="none"/>
        </w:rPr>
        <w:t>2</w:t>
      </w:r>
      <w:r>
        <w:rPr>
          <w:rFonts w:hint="eastAsia"/>
          <w:color w:val="auto"/>
          <w:highlight w:val="none"/>
        </w:rPr>
        <w:t xml:space="preserve">  预埋件的破坏，不应先于连接构件的破坏；</w:t>
      </w:r>
    </w:p>
    <w:p>
      <w:pPr>
        <w:ind w:firstLine="632" w:firstLineChars="300"/>
        <w:rPr>
          <w:color w:val="auto"/>
          <w:highlight w:val="none"/>
        </w:rPr>
      </w:pPr>
      <w:r>
        <w:rPr>
          <w:b/>
          <w:color w:val="auto"/>
          <w:highlight w:val="none"/>
        </w:rPr>
        <w:t>3</w:t>
      </w:r>
      <w:r>
        <w:rPr>
          <w:color w:val="auto"/>
          <w:highlight w:val="none"/>
        </w:rPr>
        <w:t xml:space="preserve">  </w:t>
      </w:r>
      <w:r>
        <w:rPr>
          <w:rFonts w:hint="eastAsia"/>
          <w:color w:val="auto"/>
          <w:highlight w:val="none"/>
        </w:rPr>
        <w:t>模块单元间的连接应传力路径明确、构造可靠，并应满足承载力、延性和耐久性等要求。</w:t>
      </w:r>
    </w:p>
    <w:p>
      <w:pPr>
        <w:numPr>
          <w:ilvl w:val="0"/>
          <w:numId w:val="11"/>
        </w:numPr>
        <w:rPr>
          <w:bCs/>
          <w:color w:val="auto"/>
          <w:highlight w:val="none"/>
        </w:rPr>
      </w:pPr>
      <w:r>
        <w:rPr>
          <w:rFonts w:hint="eastAsia"/>
          <w:bCs/>
          <w:color w:val="auto"/>
          <w:highlight w:val="none"/>
        </w:rPr>
        <w:t>混凝土模块化建筑的最大适用高度应符合下列规定：</w:t>
      </w:r>
    </w:p>
    <w:p>
      <w:pPr>
        <w:ind w:firstLine="421" w:firstLineChars="200"/>
        <w:rPr>
          <w:color w:val="auto"/>
          <w:highlight w:val="none"/>
        </w:rPr>
      </w:pPr>
      <w:r>
        <w:rPr>
          <w:rFonts w:hint="eastAsia"/>
          <w:b/>
          <w:color w:val="auto"/>
          <w:highlight w:val="none"/>
        </w:rPr>
        <w:t>1</w:t>
      </w:r>
      <w:r>
        <w:rPr>
          <w:b/>
          <w:color w:val="auto"/>
          <w:highlight w:val="none"/>
        </w:rPr>
        <w:t xml:space="preserve">  </w:t>
      </w:r>
      <w:r>
        <w:rPr>
          <w:rFonts w:hint="eastAsia"/>
          <w:color w:val="auto"/>
          <w:highlight w:val="none"/>
        </w:rPr>
        <w:t>乙类和丙类混凝土模块化建筑最大适用高度应符合表5</w:t>
      </w:r>
      <w:r>
        <w:rPr>
          <w:color w:val="auto"/>
          <w:highlight w:val="none"/>
        </w:rPr>
        <w:t>.</w:t>
      </w:r>
      <w:r>
        <w:rPr>
          <w:rFonts w:hint="eastAsia"/>
          <w:color w:val="auto"/>
          <w:highlight w:val="none"/>
        </w:rPr>
        <w:t>2</w:t>
      </w:r>
      <w:r>
        <w:rPr>
          <w:color w:val="auto"/>
          <w:highlight w:val="none"/>
        </w:rPr>
        <w:t>.</w:t>
      </w:r>
      <w:r>
        <w:rPr>
          <w:rFonts w:hint="eastAsia"/>
          <w:color w:val="auto"/>
          <w:highlight w:val="none"/>
        </w:rPr>
        <w:t>4的规定；</w:t>
      </w:r>
    </w:p>
    <w:p>
      <w:pPr>
        <w:ind w:firstLine="421" w:firstLineChars="200"/>
        <w:rPr>
          <w:color w:val="auto"/>
          <w:highlight w:val="none"/>
        </w:rPr>
      </w:pPr>
      <w:r>
        <w:rPr>
          <w:rFonts w:hint="eastAsia"/>
          <w:b/>
          <w:color w:val="auto"/>
          <w:highlight w:val="none"/>
        </w:rPr>
        <w:t>2</w:t>
      </w:r>
      <w:r>
        <w:rPr>
          <w:rFonts w:hint="eastAsia"/>
          <w:color w:val="auto"/>
          <w:highlight w:val="none"/>
        </w:rPr>
        <w:t xml:space="preserve">  对于模块化剪力墙结构，在多遇地震作用下，当预制剪力墙构件底部承担的总剪力大于该层总剪力的50%时，其最大适用高度应比表内数值降低10%；对于模块化剪力墙结构，在多遇地震作用下，其结构为特别不规则时，其最大适用高度应比表内数值应降低20%；对于模块化剪力墙结构，在多遇地震作用下，其结构为特别不规则且预制剪力墙承担的底部总剪力大于楼层总剪力的50%时，其最大适用高度应比表内数值应降30%</w:t>
      </w:r>
      <w:r>
        <w:rPr>
          <w:rFonts w:hint="eastAsia"/>
          <w:color w:val="auto"/>
          <w:highlight w:val="none"/>
          <w:lang w:val="en-US" w:eastAsia="zh-CN"/>
        </w:rPr>
        <w:t>；</w:t>
      </w:r>
    </w:p>
    <w:p>
      <w:pPr>
        <w:ind w:firstLine="421" w:firstLineChars="200"/>
        <w:rPr>
          <w:rFonts w:hint="eastAsia" w:eastAsia="宋体"/>
          <w:color w:val="auto"/>
          <w:highlight w:val="none"/>
          <w:lang w:eastAsia="zh-CN"/>
        </w:rPr>
      </w:pPr>
      <w:r>
        <w:rPr>
          <w:rFonts w:hint="eastAsia"/>
          <w:b/>
          <w:bCs/>
          <w:color w:val="auto"/>
          <w:highlight w:val="none"/>
        </w:rPr>
        <w:t>3</w:t>
      </w:r>
      <w:r>
        <w:rPr>
          <w:rFonts w:hint="eastAsia"/>
          <w:color w:val="auto"/>
          <w:highlight w:val="none"/>
        </w:rPr>
        <w:t xml:space="preserve">  对于特别不规则的模块化箱模结构，其最大适用高度应比表内数值降低20%</w:t>
      </w:r>
      <w:r>
        <w:rPr>
          <w:rFonts w:hint="eastAsia"/>
          <w:color w:val="auto"/>
          <w:highlight w:val="none"/>
          <w:lang w:val="en-US" w:eastAsia="zh-CN"/>
        </w:rPr>
        <w:t>；</w:t>
      </w:r>
    </w:p>
    <w:p>
      <w:pPr>
        <w:ind w:firstLine="421" w:firstLineChars="200"/>
        <w:rPr>
          <w:color w:val="auto"/>
          <w:highlight w:val="none"/>
        </w:rPr>
      </w:pPr>
      <w:r>
        <w:rPr>
          <w:rFonts w:hint="eastAsia"/>
          <w:b/>
          <w:bCs/>
          <w:color w:val="auto"/>
          <w:highlight w:val="none"/>
        </w:rPr>
        <w:t>4</w:t>
      </w:r>
      <w:r>
        <w:rPr>
          <w:rFonts w:hint="eastAsia"/>
          <w:color w:val="auto"/>
          <w:highlight w:val="none"/>
        </w:rPr>
        <w:t xml:space="preserve">  混凝土模块化建筑应依据《上海市建筑工程设计文件抗震设防审查管理办法》（沪建规范8号）的有关规定开展专项论证或超限审查。</w:t>
      </w:r>
    </w:p>
    <w:p>
      <w:pPr>
        <w:pStyle w:val="54"/>
        <w:rPr>
          <w:rFonts w:eastAsia="仿宋"/>
          <w:b/>
          <w:bCs/>
          <w:color w:val="auto"/>
          <w:sz w:val="21"/>
          <w:highlight w:val="none"/>
        </w:rPr>
      </w:pPr>
      <w:r>
        <w:rPr>
          <w:rFonts w:eastAsia="仿宋"/>
          <w:b/>
          <w:bCs/>
          <w:color w:val="auto"/>
          <w:sz w:val="21"/>
          <w:highlight w:val="none"/>
        </w:rPr>
        <w:t>表5</w:t>
      </w:r>
      <w:r>
        <w:rPr>
          <w:rFonts w:hint="eastAsia" w:ascii="宋体" w:hAnsi="宋体" w:eastAsia="宋体" w:cs="宋体"/>
          <w:b/>
          <w:bCs/>
          <w:color w:val="auto"/>
          <w:sz w:val="21"/>
          <w:highlight w:val="none"/>
        </w:rPr>
        <w:t>.</w:t>
      </w:r>
      <w:r>
        <w:rPr>
          <w:rFonts w:eastAsia="仿宋"/>
          <w:b/>
          <w:bCs/>
          <w:color w:val="auto"/>
          <w:sz w:val="21"/>
          <w:highlight w:val="none"/>
        </w:rPr>
        <w:t>2</w:t>
      </w:r>
      <w:r>
        <w:rPr>
          <w:rFonts w:hint="eastAsia" w:ascii="宋体" w:hAnsi="宋体" w:eastAsia="宋体" w:cs="宋体"/>
          <w:b/>
          <w:bCs/>
          <w:color w:val="auto"/>
          <w:sz w:val="21"/>
          <w:highlight w:val="none"/>
        </w:rPr>
        <w:t>.</w:t>
      </w:r>
      <w:r>
        <w:rPr>
          <w:rFonts w:eastAsia="仿宋"/>
          <w:b/>
          <w:bCs/>
          <w:color w:val="auto"/>
          <w:sz w:val="21"/>
          <w:highlight w:val="none"/>
        </w:rPr>
        <w:t>4  混凝土模块化建筑的最大适用高度（m）</w:t>
      </w:r>
    </w:p>
    <w:tbl>
      <w:tblPr>
        <w:tblStyle w:val="24"/>
        <w:tblW w:w="761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94"/>
        <w:gridCol w:w="1312"/>
        <w:gridCol w:w="1577"/>
        <w:gridCol w:w="1666"/>
        <w:gridCol w:w="16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83" w:type="dxa"/>
            <w:gridSpan w:val="3"/>
            <w:vMerge w:val="restart"/>
            <w:vAlign w:val="center"/>
          </w:tcPr>
          <w:p>
            <w:pPr>
              <w:pStyle w:val="54"/>
              <w:rPr>
                <w:rStyle w:val="30"/>
                <w:rFonts w:eastAsia="仿宋"/>
                <w:color w:val="auto"/>
                <w:kern w:val="2"/>
                <w:highlight w:val="none"/>
              </w:rPr>
            </w:pPr>
            <w:r>
              <w:rPr>
                <w:rStyle w:val="30"/>
                <w:rFonts w:eastAsia="仿宋"/>
                <w:color w:val="auto"/>
                <w:kern w:val="2"/>
                <w:highlight w:val="none"/>
              </w:rPr>
              <w:t>结构类型</w:t>
            </w:r>
          </w:p>
        </w:tc>
        <w:tc>
          <w:tcPr>
            <w:tcW w:w="3334" w:type="dxa"/>
            <w:gridSpan w:val="2"/>
            <w:vAlign w:val="center"/>
          </w:tcPr>
          <w:p>
            <w:pPr>
              <w:pStyle w:val="54"/>
              <w:rPr>
                <w:rStyle w:val="30"/>
                <w:rFonts w:eastAsia="仿宋"/>
                <w:color w:val="auto"/>
                <w:kern w:val="2"/>
                <w:highlight w:val="none"/>
              </w:rPr>
            </w:pPr>
            <w:r>
              <w:rPr>
                <w:rStyle w:val="30"/>
                <w:rFonts w:eastAsia="仿宋"/>
                <w:color w:val="auto"/>
                <w:kern w:val="2"/>
                <w:highlight w:val="none"/>
              </w:rPr>
              <w:t>抗震设防烈度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83" w:type="dxa"/>
            <w:gridSpan w:val="3"/>
            <w:vMerge w:val="continue"/>
            <w:vAlign w:val="center"/>
          </w:tcPr>
          <w:p>
            <w:pPr>
              <w:pStyle w:val="54"/>
              <w:rPr>
                <w:rStyle w:val="30"/>
                <w:rFonts w:eastAsia="仿宋"/>
                <w:color w:val="auto"/>
                <w:kern w:val="2"/>
                <w:highlight w:val="none"/>
              </w:rPr>
            </w:pPr>
          </w:p>
        </w:tc>
        <w:tc>
          <w:tcPr>
            <w:tcW w:w="1666" w:type="dxa"/>
            <w:vAlign w:val="center"/>
          </w:tcPr>
          <w:p>
            <w:pPr>
              <w:pStyle w:val="54"/>
              <w:rPr>
                <w:rFonts w:eastAsia="仿宋"/>
                <w:color w:val="auto"/>
                <w:kern w:val="2"/>
                <w:sz w:val="21"/>
                <w:highlight w:val="none"/>
              </w:rPr>
            </w:pPr>
            <w:r>
              <w:rPr>
                <w:rStyle w:val="30"/>
                <w:rFonts w:eastAsia="仿宋"/>
                <w:color w:val="auto"/>
                <w:kern w:val="2"/>
                <w:highlight w:val="none"/>
              </w:rPr>
              <w:t>7度</w:t>
            </w:r>
          </w:p>
        </w:tc>
        <w:tc>
          <w:tcPr>
            <w:tcW w:w="1667" w:type="dxa"/>
            <w:vAlign w:val="center"/>
          </w:tcPr>
          <w:p>
            <w:pPr>
              <w:pStyle w:val="54"/>
              <w:rPr>
                <w:rFonts w:eastAsia="仿宋"/>
                <w:color w:val="auto"/>
                <w:kern w:val="2"/>
                <w:sz w:val="21"/>
                <w:highlight w:val="none"/>
              </w:rPr>
            </w:pPr>
            <w:r>
              <w:rPr>
                <w:rStyle w:val="30"/>
                <w:rFonts w:eastAsia="仿宋"/>
                <w:color w:val="auto"/>
                <w:kern w:val="2"/>
                <w:highlight w:val="none"/>
              </w:rPr>
              <w:t>8度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83" w:type="dxa"/>
            <w:gridSpan w:val="3"/>
            <w:vAlign w:val="center"/>
          </w:tcPr>
          <w:p>
            <w:pPr>
              <w:pStyle w:val="54"/>
              <w:rPr>
                <w:rStyle w:val="30"/>
                <w:rFonts w:eastAsia="仿宋"/>
                <w:color w:val="auto"/>
                <w:kern w:val="2"/>
                <w:highlight w:val="none"/>
              </w:rPr>
            </w:pPr>
            <w:r>
              <w:rPr>
                <w:rStyle w:val="30"/>
                <w:rFonts w:eastAsia="仿宋"/>
                <w:color w:val="auto"/>
                <w:kern w:val="2"/>
                <w:highlight w:val="none"/>
              </w:rPr>
              <w:t>模块化框架结构</w:t>
            </w:r>
          </w:p>
        </w:tc>
        <w:tc>
          <w:tcPr>
            <w:tcW w:w="1666" w:type="dxa"/>
            <w:vAlign w:val="center"/>
          </w:tcPr>
          <w:p>
            <w:pPr>
              <w:pStyle w:val="54"/>
              <w:rPr>
                <w:rFonts w:eastAsia="仿宋"/>
                <w:color w:val="auto"/>
                <w:kern w:val="2"/>
                <w:sz w:val="21"/>
                <w:highlight w:val="none"/>
              </w:rPr>
            </w:pPr>
            <w:r>
              <w:rPr>
                <w:rStyle w:val="30"/>
                <w:rFonts w:eastAsia="仿宋"/>
                <w:color w:val="auto"/>
                <w:kern w:val="2"/>
                <w:highlight w:val="none"/>
              </w:rPr>
              <w:t>≤24m，且≤6层</w:t>
            </w:r>
          </w:p>
        </w:tc>
        <w:tc>
          <w:tcPr>
            <w:tcW w:w="1667" w:type="dxa"/>
            <w:vAlign w:val="center"/>
          </w:tcPr>
          <w:p>
            <w:pPr>
              <w:pStyle w:val="54"/>
              <w:rPr>
                <w:rFonts w:eastAsia="仿宋"/>
                <w:color w:val="auto"/>
                <w:kern w:val="2"/>
                <w:sz w:val="21"/>
                <w:highlight w:val="none"/>
              </w:rPr>
            </w:pPr>
            <w:r>
              <w:rPr>
                <w:rStyle w:val="30"/>
                <w:rFonts w:eastAsia="仿宋"/>
                <w:color w:val="auto"/>
                <w:kern w:val="2"/>
                <w:highlight w:val="none"/>
              </w:rPr>
              <w:t>≤20m，且≤5层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4" w:type="dxa"/>
            <w:vMerge w:val="restart"/>
            <w:vAlign w:val="center"/>
          </w:tcPr>
          <w:p>
            <w:pPr>
              <w:pStyle w:val="54"/>
              <w:snapToGrid w:val="0"/>
              <w:rPr>
                <w:rStyle w:val="30"/>
                <w:rFonts w:eastAsia="仿宋"/>
                <w:color w:val="auto"/>
                <w:kern w:val="2"/>
                <w:highlight w:val="none"/>
              </w:rPr>
            </w:pPr>
            <w:r>
              <w:rPr>
                <w:rStyle w:val="30"/>
                <w:rFonts w:eastAsia="仿宋"/>
                <w:color w:val="auto"/>
                <w:kern w:val="2"/>
                <w:highlight w:val="none"/>
              </w:rPr>
              <w:t>模块化</w:t>
            </w:r>
            <w:r>
              <w:rPr>
                <w:rStyle w:val="30"/>
                <w:rFonts w:hint="eastAsia" w:eastAsia="仿宋"/>
                <w:color w:val="auto"/>
                <w:kern w:val="2"/>
                <w:highlight w:val="none"/>
              </w:rPr>
              <w:t>全</w:t>
            </w:r>
            <w:r>
              <w:rPr>
                <w:rStyle w:val="30"/>
                <w:rFonts w:eastAsia="仿宋"/>
                <w:color w:val="auto"/>
                <w:kern w:val="2"/>
                <w:highlight w:val="none"/>
              </w:rPr>
              <w:t>预制剪力墙结构</w:t>
            </w:r>
          </w:p>
        </w:tc>
        <w:tc>
          <w:tcPr>
            <w:tcW w:w="2888" w:type="dxa"/>
            <w:gridSpan w:val="2"/>
            <w:vAlign w:val="center"/>
          </w:tcPr>
          <w:p>
            <w:pPr>
              <w:pStyle w:val="54"/>
              <w:rPr>
                <w:rStyle w:val="30"/>
                <w:rFonts w:eastAsia="仿宋"/>
                <w:color w:val="auto"/>
                <w:kern w:val="2"/>
                <w:highlight w:val="none"/>
              </w:rPr>
            </w:pPr>
            <w:r>
              <w:rPr>
                <w:rStyle w:val="30"/>
                <w:rFonts w:eastAsia="仿宋"/>
                <w:color w:val="auto"/>
                <w:kern w:val="2"/>
                <w:highlight w:val="none"/>
              </w:rPr>
              <w:t>全部落地剪力墙</w:t>
            </w:r>
          </w:p>
        </w:tc>
        <w:tc>
          <w:tcPr>
            <w:tcW w:w="1666" w:type="dxa"/>
            <w:vAlign w:val="center"/>
          </w:tcPr>
          <w:p>
            <w:pPr>
              <w:pStyle w:val="54"/>
              <w:rPr>
                <w:rFonts w:eastAsia="仿宋"/>
                <w:color w:val="auto"/>
                <w:kern w:val="2"/>
                <w:sz w:val="21"/>
                <w:highlight w:val="none"/>
              </w:rPr>
            </w:pPr>
            <w:r>
              <w:rPr>
                <w:rStyle w:val="30"/>
                <w:rFonts w:eastAsia="仿宋"/>
                <w:color w:val="auto"/>
                <w:kern w:val="2"/>
                <w:highlight w:val="none"/>
              </w:rPr>
              <w:t>100</w:t>
            </w:r>
          </w:p>
        </w:tc>
        <w:tc>
          <w:tcPr>
            <w:tcW w:w="1667" w:type="dxa"/>
            <w:vAlign w:val="center"/>
          </w:tcPr>
          <w:p>
            <w:pPr>
              <w:pStyle w:val="54"/>
              <w:rPr>
                <w:rStyle w:val="30"/>
                <w:rFonts w:eastAsia="仿宋"/>
                <w:color w:val="auto"/>
                <w:kern w:val="2"/>
                <w:highlight w:val="none"/>
              </w:rPr>
            </w:pPr>
            <w:r>
              <w:rPr>
                <w:rStyle w:val="30"/>
                <w:rFonts w:eastAsia="仿宋"/>
                <w:color w:val="auto"/>
                <w:kern w:val="2"/>
                <w:highlight w:val="none"/>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4" w:type="dxa"/>
            <w:vMerge w:val="continue"/>
            <w:vAlign w:val="center"/>
          </w:tcPr>
          <w:p>
            <w:pPr>
              <w:pStyle w:val="54"/>
              <w:snapToGrid w:val="0"/>
              <w:rPr>
                <w:rStyle w:val="30"/>
                <w:rFonts w:eastAsia="仿宋"/>
                <w:color w:val="auto"/>
                <w:kern w:val="2"/>
                <w:highlight w:val="none"/>
              </w:rPr>
            </w:pPr>
          </w:p>
        </w:tc>
        <w:tc>
          <w:tcPr>
            <w:tcW w:w="2888" w:type="dxa"/>
            <w:gridSpan w:val="2"/>
            <w:vAlign w:val="center"/>
          </w:tcPr>
          <w:p>
            <w:pPr>
              <w:pStyle w:val="54"/>
              <w:rPr>
                <w:rStyle w:val="30"/>
                <w:rFonts w:eastAsia="仿宋"/>
                <w:color w:val="auto"/>
                <w:kern w:val="2"/>
                <w:highlight w:val="none"/>
              </w:rPr>
            </w:pPr>
            <w:r>
              <w:rPr>
                <w:rStyle w:val="30"/>
                <w:rFonts w:eastAsia="仿宋"/>
                <w:color w:val="auto"/>
                <w:kern w:val="2"/>
                <w:highlight w:val="none"/>
              </w:rPr>
              <w:t>部分框支剪力墙</w:t>
            </w:r>
          </w:p>
        </w:tc>
        <w:tc>
          <w:tcPr>
            <w:tcW w:w="1666" w:type="dxa"/>
            <w:vAlign w:val="center"/>
          </w:tcPr>
          <w:p>
            <w:pPr>
              <w:pStyle w:val="54"/>
              <w:rPr>
                <w:rFonts w:eastAsia="仿宋"/>
                <w:color w:val="auto"/>
                <w:kern w:val="2"/>
                <w:sz w:val="21"/>
                <w:highlight w:val="none"/>
              </w:rPr>
            </w:pPr>
            <w:r>
              <w:rPr>
                <w:rStyle w:val="30"/>
                <w:rFonts w:eastAsia="仿宋"/>
                <w:color w:val="auto"/>
                <w:kern w:val="2"/>
                <w:highlight w:val="none"/>
              </w:rPr>
              <w:t>80</w:t>
            </w:r>
          </w:p>
        </w:tc>
        <w:tc>
          <w:tcPr>
            <w:tcW w:w="1667" w:type="dxa"/>
            <w:vAlign w:val="center"/>
          </w:tcPr>
          <w:p>
            <w:pPr>
              <w:pStyle w:val="54"/>
              <w:rPr>
                <w:rFonts w:eastAsia="仿宋"/>
                <w:color w:val="auto"/>
                <w:kern w:val="2"/>
                <w:sz w:val="21"/>
                <w:highlight w:val="none"/>
              </w:rPr>
            </w:pPr>
            <w:r>
              <w:rPr>
                <w:rStyle w:val="30"/>
                <w:rFonts w:eastAsia="仿宋"/>
                <w:color w:val="auto"/>
                <w:kern w:val="2"/>
                <w:highlight w:val="none"/>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4" w:type="dxa"/>
            <w:vMerge w:val="restart"/>
            <w:vAlign w:val="center"/>
          </w:tcPr>
          <w:p>
            <w:pPr>
              <w:pStyle w:val="54"/>
              <w:snapToGrid w:val="0"/>
              <w:rPr>
                <w:rStyle w:val="30"/>
                <w:rFonts w:eastAsia="仿宋"/>
                <w:color w:val="auto"/>
                <w:kern w:val="2"/>
                <w:highlight w:val="none"/>
              </w:rPr>
            </w:pPr>
            <w:r>
              <w:rPr>
                <w:rStyle w:val="30"/>
                <w:rFonts w:eastAsia="仿宋"/>
                <w:color w:val="auto"/>
                <w:kern w:val="2"/>
                <w:highlight w:val="none"/>
              </w:rPr>
              <w:t>模块化叠合</w:t>
            </w:r>
          </w:p>
          <w:p>
            <w:pPr>
              <w:pStyle w:val="54"/>
              <w:snapToGrid w:val="0"/>
              <w:rPr>
                <w:rStyle w:val="30"/>
                <w:rFonts w:eastAsia="仿宋"/>
                <w:color w:val="auto"/>
                <w:kern w:val="2"/>
                <w:highlight w:val="none"/>
              </w:rPr>
            </w:pPr>
            <w:r>
              <w:rPr>
                <w:rStyle w:val="30"/>
                <w:rFonts w:eastAsia="仿宋"/>
                <w:color w:val="auto"/>
                <w:kern w:val="2"/>
                <w:highlight w:val="none"/>
              </w:rPr>
              <w:t>剪力墙结构</w:t>
            </w:r>
          </w:p>
        </w:tc>
        <w:tc>
          <w:tcPr>
            <w:tcW w:w="2888" w:type="dxa"/>
            <w:gridSpan w:val="2"/>
            <w:vAlign w:val="center"/>
          </w:tcPr>
          <w:p>
            <w:pPr>
              <w:pStyle w:val="54"/>
              <w:rPr>
                <w:rStyle w:val="30"/>
                <w:rFonts w:eastAsia="仿宋"/>
                <w:color w:val="auto"/>
                <w:kern w:val="2"/>
                <w:highlight w:val="none"/>
              </w:rPr>
            </w:pPr>
            <w:r>
              <w:rPr>
                <w:rStyle w:val="30"/>
                <w:rFonts w:eastAsia="仿宋"/>
                <w:color w:val="auto"/>
                <w:kern w:val="2"/>
                <w:highlight w:val="none"/>
              </w:rPr>
              <w:t>全部落地剪力墙</w:t>
            </w:r>
          </w:p>
        </w:tc>
        <w:tc>
          <w:tcPr>
            <w:tcW w:w="1666" w:type="dxa"/>
            <w:vAlign w:val="center"/>
          </w:tcPr>
          <w:p>
            <w:pPr>
              <w:pStyle w:val="54"/>
              <w:rPr>
                <w:rFonts w:eastAsia="仿宋"/>
                <w:color w:val="auto"/>
                <w:kern w:val="2"/>
                <w:sz w:val="21"/>
                <w:highlight w:val="none"/>
              </w:rPr>
            </w:pPr>
            <w:r>
              <w:rPr>
                <w:rStyle w:val="30"/>
                <w:rFonts w:eastAsia="仿宋"/>
                <w:color w:val="auto"/>
                <w:kern w:val="2"/>
                <w:highlight w:val="none"/>
              </w:rPr>
              <w:t>80</w:t>
            </w:r>
          </w:p>
        </w:tc>
        <w:tc>
          <w:tcPr>
            <w:tcW w:w="1667" w:type="dxa"/>
            <w:vAlign w:val="center"/>
          </w:tcPr>
          <w:p>
            <w:pPr>
              <w:pStyle w:val="54"/>
              <w:rPr>
                <w:rFonts w:eastAsia="仿宋"/>
                <w:color w:val="auto"/>
                <w:kern w:val="2"/>
                <w:sz w:val="21"/>
                <w:highlight w:val="none"/>
              </w:rPr>
            </w:pPr>
            <w:r>
              <w:rPr>
                <w:rStyle w:val="30"/>
                <w:rFonts w:eastAsia="仿宋"/>
                <w:color w:val="auto"/>
                <w:kern w:val="2"/>
                <w:highlight w:val="none"/>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4" w:type="dxa"/>
            <w:vMerge w:val="continue"/>
            <w:vAlign w:val="center"/>
          </w:tcPr>
          <w:p>
            <w:pPr>
              <w:pStyle w:val="54"/>
              <w:snapToGrid w:val="0"/>
              <w:rPr>
                <w:rStyle w:val="30"/>
                <w:rFonts w:eastAsia="仿宋"/>
                <w:color w:val="auto"/>
                <w:kern w:val="2"/>
                <w:highlight w:val="none"/>
              </w:rPr>
            </w:pPr>
          </w:p>
        </w:tc>
        <w:tc>
          <w:tcPr>
            <w:tcW w:w="2888" w:type="dxa"/>
            <w:gridSpan w:val="2"/>
            <w:vAlign w:val="center"/>
          </w:tcPr>
          <w:p>
            <w:pPr>
              <w:pStyle w:val="54"/>
              <w:rPr>
                <w:rStyle w:val="30"/>
                <w:rFonts w:eastAsia="仿宋"/>
                <w:color w:val="auto"/>
                <w:kern w:val="2"/>
                <w:highlight w:val="none"/>
              </w:rPr>
            </w:pPr>
            <w:r>
              <w:rPr>
                <w:rStyle w:val="30"/>
                <w:rFonts w:eastAsia="仿宋"/>
                <w:color w:val="auto"/>
                <w:kern w:val="2"/>
                <w:highlight w:val="none"/>
              </w:rPr>
              <w:t>部分框支剪力墙</w:t>
            </w:r>
          </w:p>
        </w:tc>
        <w:tc>
          <w:tcPr>
            <w:tcW w:w="1666" w:type="dxa"/>
            <w:vAlign w:val="center"/>
          </w:tcPr>
          <w:p>
            <w:pPr>
              <w:pStyle w:val="54"/>
              <w:rPr>
                <w:rFonts w:eastAsia="仿宋"/>
                <w:color w:val="auto"/>
                <w:kern w:val="2"/>
                <w:sz w:val="21"/>
                <w:highlight w:val="none"/>
              </w:rPr>
            </w:pPr>
            <w:r>
              <w:rPr>
                <w:rStyle w:val="30"/>
                <w:rFonts w:eastAsia="仿宋"/>
                <w:color w:val="auto"/>
                <w:kern w:val="2"/>
                <w:highlight w:val="none"/>
              </w:rPr>
              <w:t>60</w:t>
            </w:r>
          </w:p>
        </w:tc>
        <w:tc>
          <w:tcPr>
            <w:tcW w:w="1667" w:type="dxa"/>
            <w:vAlign w:val="center"/>
          </w:tcPr>
          <w:p>
            <w:pPr>
              <w:pStyle w:val="54"/>
              <w:rPr>
                <w:rFonts w:eastAsia="仿宋"/>
                <w:color w:val="auto"/>
                <w:kern w:val="2"/>
                <w:sz w:val="21"/>
                <w:highlight w:val="none"/>
              </w:rPr>
            </w:pPr>
            <w:r>
              <w:rPr>
                <w:rStyle w:val="30"/>
                <w:rFonts w:eastAsia="仿宋"/>
                <w:color w:val="auto"/>
                <w:kern w:val="2"/>
                <w:highlight w:val="none"/>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4" w:type="dxa"/>
            <w:vMerge w:val="restart"/>
            <w:vAlign w:val="center"/>
          </w:tcPr>
          <w:p>
            <w:pPr>
              <w:pStyle w:val="54"/>
              <w:snapToGrid w:val="0"/>
              <w:rPr>
                <w:rStyle w:val="30"/>
                <w:rFonts w:eastAsia="仿宋"/>
                <w:color w:val="auto"/>
                <w:kern w:val="2"/>
                <w:highlight w:val="none"/>
              </w:rPr>
            </w:pPr>
            <w:r>
              <w:rPr>
                <w:rStyle w:val="30"/>
                <w:rFonts w:eastAsia="仿宋"/>
                <w:color w:val="auto"/>
                <w:kern w:val="2"/>
                <w:highlight w:val="none"/>
              </w:rPr>
              <w:t>模块化</w:t>
            </w:r>
          </w:p>
          <w:p>
            <w:pPr>
              <w:pStyle w:val="54"/>
              <w:snapToGrid w:val="0"/>
              <w:rPr>
                <w:rStyle w:val="30"/>
                <w:rFonts w:eastAsia="仿宋"/>
                <w:color w:val="auto"/>
                <w:kern w:val="2"/>
                <w:highlight w:val="none"/>
              </w:rPr>
            </w:pPr>
            <w:r>
              <w:rPr>
                <w:rStyle w:val="30"/>
                <w:rFonts w:eastAsia="仿宋"/>
                <w:color w:val="auto"/>
                <w:kern w:val="2"/>
                <w:highlight w:val="none"/>
              </w:rPr>
              <w:t>箱模结构</w:t>
            </w:r>
          </w:p>
        </w:tc>
        <w:tc>
          <w:tcPr>
            <w:tcW w:w="2888" w:type="dxa"/>
            <w:gridSpan w:val="2"/>
            <w:vAlign w:val="center"/>
          </w:tcPr>
          <w:p>
            <w:pPr>
              <w:pStyle w:val="54"/>
              <w:rPr>
                <w:rStyle w:val="30"/>
                <w:rFonts w:eastAsia="仿宋"/>
                <w:color w:val="auto"/>
                <w:kern w:val="2"/>
                <w:highlight w:val="none"/>
              </w:rPr>
            </w:pPr>
            <w:r>
              <w:rPr>
                <w:rStyle w:val="30"/>
                <w:rFonts w:eastAsia="仿宋"/>
                <w:color w:val="auto"/>
                <w:kern w:val="2"/>
                <w:highlight w:val="none"/>
              </w:rPr>
              <w:t>箱模框架结构</w:t>
            </w:r>
          </w:p>
        </w:tc>
        <w:tc>
          <w:tcPr>
            <w:tcW w:w="1666" w:type="dxa"/>
            <w:vAlign w:val="center"/>
          </w:tcPr>
          <w:p>
            <w:pPr>
              <w:pStyle w:val="54"/>
              <w:rPr>
                <w:rFonts w:eastAsia="仿宋"/>
                <w:color w:val="auto"/>
                <w:kern w:val="2"/>
                <w:sz w:val="21"/>
                <w:highlight w:val="none"/>
              </w:rPr>
            </w:pPr>
            <w:r>
              <w:rPr>
                <w:rStyle w:val="30"/>
                <w:rFonts w:eastAsia="仿宋"/>
                <w:color w:val="auto"/>
                <w:kern w:val="2"/>
                <w:highlight w:val="none"/>
              </w:rPr>
              <w:t>50</w:t>
            </w:r>
          </w:p>
        </w:tc>
        <w:tc>
          <w:tcPr>
            <w:tcW w:w="1667" w:type="dxa"/>
            <w:vAlign w:val="center"/>
          </w:tcPr>
          <w:p>
            <w:pPr>
              <w:pStyle w:val="54"/>
              <w:rPr>
                <w:rFonts w:eastAsia="仿宋"/>
                <w:color w:val="auto"/>
                <w:kern w:val="2"/>
                <w:sz w:val="21"/>
                <w:highlight w:val="none"/>
              </w:rPr>
            </w:pPr>
            <w:r>
              <w:rPr>
                <w:rStyle w:val="30"/>
                <w:rFonts w:eastAsia="仿宋"/>
                <w:color w:val="auto"/>
                <w:kern w:val="2"/>
                <w:highlight w:val="none"/>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4" w:type="dxa"/>
            <w:vMerge w:val="continue"/>
            <w:vAlign w:val="center"/>
          </w:tcPr>
          <w:p>
            <w:pPr>
              <w:pStyle w:val="54"/>
              <w:rPr>
                <w:rStyle w:val="30"/>
                <w:rFonts w:eastAsia="仿宋"/>
                <w:color w:val="auto"/>
                <w:kern w:val="2"/>
                <w:highlight w:val="none"/>
              </w:rPr>
            </w:pPr>
          </w:p>
        </w:tc>
        <w:tc>
          <w:tcPr>
            <w:tcW w:w="2888" w:type="dxa"/>
            <w:gridSpan w:val="2"/>
            <w:vAlign w:val="center"/>
          </w:tcPr>
          <w:p>
            <w:pPr>
              <w:pStyle w:val="54"/>
              <w:rPr>
                <w:rStyle w:val="30"/>
                <w:rFonts w:eastAsia="仿宋"/>
                <w:color w:val="auto"/>
                <w:kern w:val="2"/>
                <w:highlight w:val="none"/>
              </w:rPr>
            </w:pPr>
            <w:r>
              <w:rPr>
                <w:rStyle w:val="30"/>
                <w:rFonts w:eastAsia="仿宋"/>
                <w:color w:val="auto"/>
                <w:kern w:val="2"/>
                <w:highlight w:val="none"/>
              </w:rPr>
              <w:t>箱模框架-剪力墙结构</w:t>
            </w:r>
          </w:p>
        </w:tc>
        <w:tc>
          <w:tcPr>
            <w:tcW w:w="1666" w:type="dxa"/>
            <w:vAlign w:val="center"/>
          </w:tcPr>
          <w:p>
            <w:pPr>
              <w:pStyle w:val="54"/>
              <w:rPr>
                <w:rFonts w:eastAsia="仿宋"/>
                <w:color w:val="auto"/>
                <w:kern w:val="2"/>
                <w:sz w:val="21"/>
                <w:highlight w:val="none"/>
              </w:rPr>
            </w:pPr>
            <w:r>
              <w:rPr>
                <w:rStyle w:val="30"/>
                <w:rFonts w:eastAsia="仿宋"/>
                <w:color w:val="auto"/>
                <w:kern w:val="2"/>
                <w:highlight w:val="none"/>
              </w:rPr>
              <w:t>1</w:t>
            </w:r>
            <w:r>
              <w:rPr>
                <w:rStyle w:val="30"/>
                <w:rFonts w:hint="eastAsia" w:eastAsia="仿宋"/>
                <w:color w:val="auto"/>
                <w:kern w:val="2"/>
                <w:highlight w:val="none"/>
              </w:rPr>
              <w:t>0</w:t>
            </w:r>
            <w:r>
              <w:rPr>
                <w:rStyle w:val="30"/>
                <w:rFonts w:eastAsia="仿宋"/>
                <w:color w:val="auto"/>
                <w:kern w:val="2"/>
                <w:highlight w:val="none"/>
              </w:rPr>
              <w:t>0</w:t>
            </w:r>
          </w:p>
        </w:tc>
        <w:tc>
          <w:tcPr>
            <w:tcW w:w="1667" w:type="dxa"/>
            <w:vAlign w:val="center"/>
          </w:tcPr>
          <w:p>
            <w:pPr>
              <w:pStyle w:val="54"/>
              <w:rPr>
                <w:rFonts w:eastAsia="仿宋"/>
                <w:color w:val="auto"/>
                <w:kern w:val="2"/>
                <w:sz w:val="21"/>
                <w:highlight w:val="none"/>
              </w:rPr>
            </w:pPr>
            <w:r>
              <w:rPr>
                <w:rStyle w:val="30"/>
                <w:rFonts w:eastAsia="仿宋"/>
                <w:color w:val="auto"/>
                <w:kern w:val="2"/>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394" w:type="dxa"/>
            <w:vMerge w:val="continue"/>
            <w:vAlign w:val="center"/>
          </w:tcPr>
          <w:p>
            <w:pPr>
              <w:pStyle w:val="54"/>
              <w:rPr>
                <w:rStyle w:val="30"/>
                <w:rFonts w:eastAsia="仿宋"/>
                <w:color w:val="auto"/>
                <w:kern w:val="2"/>
                <w:highlight w:val="none"/>
              </w:rPr>
            </w:pPr>
          </w:p>
        </w:tc>
        <w:tc>
          <w:tcPr>
            <w:tcW w:w="1312" w:type="dxa"/>
            <w:vMerge w:val="restart"/>
            <w:vAlign w:val="center"/>
          </w:tcPr>
          <w:p>
            <w:pPr>
              <w:pStyle w:val="54"/>
              <w:snapToGrid w:val="0"/>
              <w:rPr>
                <w:rStyle w:val="30"/>
                <w:rFonts w:eastAsia="仿宋"/>
                <w:color w:val="auto"/>
                <w:kern w:val="2"/>
                <w:highlight w:val="none"/>
              </w:rPr>
            </w:pPr>
            <w:r>
              <w:rPr>
                <w:rStyle w:val="30"/>
                <w:rFonts w:eastAsia="仿宋"/>
                <w:color w:val="auto"/>
                <w:kern w:val="2"/>
                <w:highlight w:val="none"/>
              </w:rPr>
              <w:t>箱模剪力墙结构</w:t>
            </w:r>
          </w:p>
        </w:tc>
        <w:tc>
          <w:tcPr>
            <w:tcW w:w="1575" w:type="dxa"/>
            <w:vAlign w:val="center"/>
          </w:tcPr>
          <w:p>
            <w:pPr>
              <w:pStyle w:val="54"/>
              <w:snapToGrid w:val="0"/>
              <w:rPr>
                <w:rStyle w:val="30"/>
                <w:rFonts w:eastAsia="仿宋"/>
                <w:color w:val="auto"/>
                <w:kern w:val="2"/>
                <w:highlight w:val="none"/>
              </w:rPr>
            </w:pPr>
            <w:r>
              <w:rPr>
                <w:rStyle w:val="30"/>
                <w:rFonts w:eastAsia="仿宋"/>
                <w:color w:val="auto"/>
                <w:kern w:val="2"/>
                <w:highlight w:val="none"/>
              </w:rPr>
              <w:t>全部落地剪力墙</w:t>
            </w:r>
          </w:p>
        </w:tc>
        <w:tc>
          <w:tcPr>
            <w:tcW w:w="1666" w:type="dxa"/>
            <w:vAlign w:val="center"/>
          </w:tcPr>
          <w:p>
            <w:pPr>
              <w:pStyle w:val="54"/>
              <w:snapToGrid w:val="0"/>
              <w:rPr>
                <w:rFonts w:eastAsia="仿宋"/>
                <w:color w:val="auto"/>
                <w:kern w:val="2"/>
                <w:sz w:val="21"/>
                <w:highlight w:val="none"/>
              </w:rPr>
            </w:pPr>
            <w:r>
              <w:rPr>
                <w:rStyle w:val="30"/>
                <w:rFonts w:eastAsia="仿宋"/>
                <w:color w:val="auto"/>
                <w:kern w:val="2"/>
                <w:highlight w:val="none"/>
              </w:rPr>
              <w:t>1</w:t>
            </w:r>
            <w:r>
              <w:rPr>
                <w:rStyle w:val="30"/>
                <w:rFonts w:hint="eastAsia" w:eastAsia="仿宋"/>
                <w:color w:val="auto"/>
                <w:kern w:val="2"/>
                <w:highlight w:val="none"/>
              </w:rPr>
              <w:t>0</w:t>
            </w:r>
            <w:r>
              <w:rPr>
                <w:rStyle w:val="30"/>
                <w:rFonts w:eastAsia="仿宋"/>
                <w:color w:val="auto"/>
                <w:kern w:val="2"/>
                <w:highlight w:val="none"/>
              </w:rPr>
              <w:t>0</w:t>
            </w:r>
          </w:p>
        </w:tc>
        <w:tc>
          <w:tcPr>
            <w:tcW w:w="1667" w:type="dxa"/>
            <w:vAlign w:val="center"/>
          </w:tcPr>
          <w:p>
            <w:pPr>
              <w:pStyle w:val="54"/>
              <w:snapToGrid w:val="0"/>
              <w:rPr>
                <w:rFonts w:eastAsia="仿宋"/>
                <w:color w:val="auto"/>
                <w:kern w:val="2"/>
                <w:sz w:val="21"/>
                <w:highlight w:val="none"/>
              </w:rPr>
            </w:pPr>
            <w:r>
              <w:rPr>
                <w:rStyle w:val="30"/>
                <w:rFonts w:eastAsia="仿宋"/>
                <w:color w:val="auto"/>
                <w:kern w:val="2"/>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394" w:type="dxa"/>
            <w:vMerge w:val="continue"/>
            <w:vAlign w:val="center"/>
          </w:tcPr>
          <w:p>
            <w:pPr>
              <w:pStyle w:val="54"/>
              <w:rPr>
                <w:rStyle w:val="30"/>
                <w:rFonts w:eastAsia="仿宋"/>
                <w:color w:val="auto"/>
                <w:kern w:val="2"/>
                <w:highlight w:val="none"/>
              </w:rPr>
            </w:pPr>
          </w:p>
        </w:tc>
        <w:tc>
          <w:tcPr>
            <w:tcW w:w="1312" w:type="dxa"/>
            <w:vMerge w:val="continue"/>
            <w:vAlign w:val="center"/>
          </w:tcPr>
          <w:p>
            <w:pPr>
              <w:pStyle w:val="54"/>
              <w:rPr>
                <w:rStyle w:val="30"/>
                <w:rFonts w:eastAsia="仿宋"/>
                <w:color w:val="auto"/>
                <w:kern w:val="2"/>
                <w:highlight w:val="none"/>
              </w:rPr>
            </w:pPr>
          </w:p>
        </w:tc>
        <w:tc>
          <w:tcPr>
            <w:tcW w:w="1575" w:type="dxa"/>
            <w:vAlign w:val="center"/>
          </w:tcPr>
          <w:p>
            <w:pPr>
              <w:pStyle w:val="54"/>
              <w:snapToGrid w:val="0"/>
              <w:rPr>
                <w:rStyle w:val="30"/>
                <w:rFonts w:eastAsia="仿宋"/>
                <w:color w:val="auto"/>
                <w:kern w:val="2"/>
                <w:highlight w:val="none"/>
              </w:rPr>
            </w:pPr>
            <w:r>
              <w:rPr>
                <w:rStyle w:val="30"/>
                <w:rFonts w:eastAsia="仿宋"/>
                <w:color w:val="auto"/>
                <w:kern w:val="2"/>
                <w:highlight w:val="none"/>
              </w:rPr>
              <w:t>部分框支剪力墙</w:t>
            </w:r>
          </w:p>
        </w:tc>
        <w:tc>
          <w:tcPr>
            <w:tcW w:w="1666" w:type="dxa"/>
            <w:vAlign w:val="center"/>
          </w:tcPr>
          <w:p>
            <w:pPr>
              <w:pStyle w:val="54"/>
              <w:snapToGrid w:val="0"/>
              <w:rPr>
                <w:rFonts w:eastAsia="仿宋"/>
                <w:color w:val="auto"/>
                <w:kern w:val="2"/>
                <w:sz w:val="21"/>
                <w:highlight w:val="none"/>
              </w:rPr>
            </w:pPr>
            <w:r>
              <w:rPr>
                <w:rStyle w:val="30"/>
                <w:rFonts w:eastAsia="仿宋"/>
                <w:color w:val="auto"/>
                <w:kern w:val="2"/>
                <w:highlight w:val="none"/>
              </w:rPr>
              <w:t>100</w:t>
            </w:r>
          </w:p>
        </w:tc>
        <w:tc>
          <w:tcPr>
            <w:tcW w:w="1667" w:type="dxa"/>
            <w:vAlign w:val="center"/>
          </w:tcPr>
          <w:p>
            <w:pPr>
              <w:pStyle w:val="54"/>
              <w:snapToGrid w:val="0"/>
              <w:rPr>
                <w:rFonts w:eastAsia="仿宋"/>
                <w:color w:val="auto"/>
                <w:kern w:val="2"/>
                <w:sz w:val="21"/>
                <w:highlight w:val="none"/>
              </w:rPr>
            </w:pPr>
            <w:r>
              <w:rPr>
                <w:rStyle w:val="30"/>
                <w:rFonts w:eastAsia="仿宋"/>
                <w:color w:val="auto"/>
                <w:kern w:val="2"/>
                <w:highlight w:val="none"/>
              </w:rPr>
              <w:t>80</w:t>
            </w:r>
          </w:p>
        </w:tc>
      </w:tr>
    </w:tbl>
    <w:p>
      <w:pPr>
        <w:pStyle w:val="56"/>
        <w:ind w:firstLine="360" w:firstLineChars="200"/>
        <w:rPr>
          <w:rFonts w:eastAsia="仿宋"/>
          <w:color w:val="auto"/>
          <w:sz w:val="18"/>
          <w:szCs w:val="18"/>
          <w:highlight w:val="none"/>
        </w:rPr>
      </w:pPr>
      <w:r>
        <w:rPr>
          <w:rFonts w:eastAsia="仿宋"/>
          <w:color w:val="auto"/>
          <w:sz w:val="18"/>
          <w:szCs w:val="18"/>
          <w:highlight w:val="none"/>
        </w:rPr>
        <w:t>注：1房屋高度指室外地面至主要屋面板板顶高度（不包括局部突出屋顶各部分）</w:t>
      </w:r>
      <w:r>
        <w:rPr>
          <w:rFonts w:hint="eastAsia" w:eastAsia="仿宋"/>
          <w:color w:val="auto"/>
          <w:sz w:val="18"/>
          <w:szCs w:val="18"/>
          <w:highlight w:val="none"/>
        </w:rPr>
        <w:t>；</w:t>
      </w:r>
    </w:p>
    <w:p>
      <w:pPr>
        <w:pStyle w:val="56"/>
        <w:ind w:firstLine="720" w:firstLineChars="400"/>
        <w:rPr>
          <w:rFonts w:eastAsia="仿宋"/>
          <w:color w:val="auto"/>
          <w:sz w:val="18"/>
          <w:szCs w:val="18"/>
          <w:highlight w:val="none"/>
        </w:rPr>
      </w:pPr>
      <w:r>
        <w:rPr>
          <w:rFonts w:hint="eastAsia" w:eastAsia="仿宋"/>
          <w:color w:val="auto"/>
          <w:sz w:val="18"/>
          <w:szCs w:val="18"/>
          <w:highlight w:val="none"/>
        </w:rPr>
        <w:t>2本表适用于乙类和丙类建筑。对于甲类建筑，宜按抗震设防烈度提高1度后符合本表的要求；</w:t>
      </w:r>
    </w:p>
    <w:p>
      <w:pPr>
        <w:pStyle w:val="56"/>
        <w:rPr>
          <w:rFonts w:eastAsia="仿宋"/>
          <w:color w:val="auto"/>
          <w:sz w:val="18"/>
          <w:szCs w:val="18"/>
          <w:highlight w:val="none"/>
        </w:rPr>
      </w:pPr>
      <w:r>
        <w:rPr>
          <w:rFonts w:hint="eastAsia" w:eastAsia="仿宋"/>
          <w:color w:val="auto"/>
          <w:sz w:val="18"/>
          <w:szCs w:val="18"/>
          <w:highlight w:val="none"/>
        </w:rPr>
        <w:t xml:space="preserve">        3模块化框架结构，当房屋高度超过本表数值时，结构设计应有可靠依据，并采取有效的加强措施；</w:t>
      </w:r>
    </w:p>
    <w:p>
      <w:pPr>
        <w:pStyle w:val="56"/>
        <w:ind w:firstLine="720" w:firstLineChars="400"/>
        <w:rPr>
          <w:rFonts w:eastAsia="仿宋"/>
          <w:color w:val="auto"/>
          <w:sz w:val="18"/>
          <w:szCs w:val="18"/>
          <w:highlight w:val="none"/>
        </w:rPr>
      </w:pPr>
      <w:r>
        <w:rPr>
          <w:rFonts w:hint="eastAsia" w:eastAsia="仿宋"/>
          <w:color w:val="auto"/>
          <w:sz w:val="18"/>
          <w:szCs w:val="18"/>
          <w:highlight w:val="none"/>
        </w:rPr>
        <w:t>4对于住宅类项目，其适用高度不大于80m。</w:t>
      </w:r>
    </w:p>
    <w:p>
      <w:pPr>
        <w:numPr>
          <w:ilvl w:val="0"/>
          <w:numId w:val="11"/>
        </w:numPr>
        <w:rPr>
          <w:bCs/>
          <w:color w:val="auto"/>
          <w:highlight w:val="none"/>
        </w:rPr>
      </w:pPr>
      <w:r>
        <w:rPr>
          <w:rFonts w:hint="eastAsia"/>
          <w:bCs/>
          <w:color w:val="auto"/>
          <w:highlight w:val="none"/>
        </w:rPr>
        <w:t>抗震设计时，丙类建筑采用模块化结构体系时抗震等级应符合表</w:t>
      </w:r>
      <w:r>
        <w:rPr>
          <w:bCs/>
          <w:color w:val="auto"/>
          <w:highlight w:val="none"/>
        </w:rPr>
        <w:t>5.</w:t>
      </w:r>
      <w:r>
        <w:rPr>
          <w:rFonts w:hint="eastAsia"/>
          <w:bCs/>
          <w:color w:val="auto"/>
          <w:highlight w:val="none"/>
        </w:rPr>
        <w:t>2</w:t>
      </w:r>
      <w:r>
        <w:rPr>
          <w:bCs/>
          <w:color w:val="auto"/>
          <w:highlight w:val="none"/>
        </w:rPr>
        <w:t>.</w:t>
      </w:r>
      <w:r>
        <w:rPr>
          <w:rFonts w:hint="eastAsia"/>
          <w:bCs/>
          <w:color w:val="auto"/>
          <w:highlight w:val="none"/>
        </w:rPr>
        <w:t>5的规定：</w:t>
      </w:r>
    </w:p>
    <w:p>
      <w:pPr>
        <w:pStyle w:val="54"/>
        <w:autoSpaceDE/>
        <w:autoSpaceDN/>
        <w:adjustRightInd/>
        <w:spacing w:line="400" w:lineRule="exact"/>
        <w:rPr>
          <w:rFonts w:eastAsia="仿宋"/>
          <w:b/>
          <w:bCs/>
          <w:color w:val="auto"/>
          <w:sz w:val="21"/>
          <w:highlight w:val="none"/>
        </w:rPr>
      </w:pPr>
      <w:r>
        <w:rPr>
          <w:rFonts w:eastAsia="仿宋"/>
          <w:b/>
          <w:bCs/>
          <w:color w:val="auto"/>
          <w:sz w:val="21"/>
          <w:highlight w:val="none"/>
        </w:rPr>
        <w:t>表5</w:t>
      </w:r>
      <w:r>
        <w:rPr>
          <w:rFonts w:hint="eastAsia" w:ascii="宋体" w:hAnsi="宋体" w:eastAsia="宋体" w:cs="宋体"/>
          <w:b/>
          <w:bCs/>
          <w:color w:val="auto"/>
          <w:sz w:val="21"/>
          <w:highlight w:val="none"/>
        </w:rPr>
        <w:t>.</w:t>
      </w:r>
      <w:r>
        <w:rPr>
          <w:rFonts w:eastAsia="仿宋"/>
          <w:b/>
          <w:bCs/>
          <w:color w:val="auto"/>
          <w:sz w:val="21"/>
          <w:highlight w:val="none"/>
        </w:rPr>
        <w:t>2</w:t>
      </w:r>
      <w:r>
        <w:rPr>
          <w:rFonts w:hint="eastAsia" w:ascii="宋体" w:hAnsi="宋体" w:eastAsia="宋体" w:cs="宋体"/>
          <w:b/>
          <w:bCs/>
          <w:color w:val="auto"/>
          <w:sz w:val="21"/>
          <w:highlight w:val="none"/>
        </w:rPr>
        <w:t>.</w:t>
      </w:r>
      <w:r>
        <w:rPr>
          <w:rFonts w:eastAsia="仿宋"/>
          <w:b/>
          <w:bCs/>
          <w:color w:val="auto"/>
          <w:sz w:val="21"/>
          <w:highlight w:val="none"/>
        </w:rPr>
        <w:t>5  丙类建筑的抗震等级</w:t>
      </w:r>
    </w:p>
    <w:tbl>
      <w:tblPr>
        <w:tblStyle w:val="24"/>
        <w:tblW w:w="459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1"/>
        <w:gridCol w:w="1039"/>
        <w:gridCol w:w="1154"/>
        <w:gridCol w:w="775"/>
        <w:gridCol w:w="916"/>
        <w:gridCol w:w="789"/>
        <w:gridCol w:w="164"/>
        <w:gridCol w:w="371"/>
        <w:gridCol w:w="35"/>
        <w:gridCol w:w="696"/>
        <w:gridCol w:w="580"/>
        <w:gridCol w:w="232"/>
        <w:gridCol w:w="327"/>
        <w:gridCol w:w="57"/>
        <w:gridCol w:w="7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725" w:type="pct"/>
            <w:gridSpan w:val="5"/>
            <w:vMerge w:val="restart"/>
            <w:vAlign w:val="center"/>
          </w:tcPr>
          <w:p>
            <w:pPr>
              <w:pStyle w:val="52"/>
              <w:rPr>
                <w:rFonts w:eastAsia="仿宋"/>
                <w:color w:val="auto"/>
                <w:sz w:val="21"/>
                <w:highlight w:val="none"/>
              </w:rPr>
            </w:pPr>
            <w:r>
              <w:rPr>
                <w:rFonts w:eastAsia="仿宋"/>
                <w:color w:val="auto"/>
                <w:sz w:val="21"/>
                <w:highlight w:val="none"/>
              </w:rPr>
              <w:t>结构类型</w:t>
            </w:r>
          </w:p>
        </w:tc>
        <w:tc>
          <w:tcPr>
            <w:tcW w:w="1179" w:type="pct"/>
            <w:gridSpan w:val="5"/>
            <w:vAlign w:val="center"/>
          </w:tcPr>
          <w:p>
            <w:pPr>
              <w:pStyle w:val="52"/>
              <w:rPr>
                <w:rFonts w:eastAsia="仿宋"/>
                <w:color w:val="auto"/>
                <w:sz w:val="21"/>
                <w:highlight w:val="none"/>
              </w:rPr>
            </w:pPr>
            <w:r>
              <w:rPr>
                <w:rFonts w:eastAsia="仿宋"/>
                <w:color w:val="auto"/>
                <w:sz w:val="21"/>
                <w:highlight w:val="none"/>
              </w:rPr>
              <w:t>抗震设防烈度</w:t>
            </w:r>
          </w:p>
        </w:tc>
        <w:tc>
          <w:tcPr>
            <w:tcW w:w="1096" w:type="pct"/>
            <w:gridSpan w:val="5"/>
            <w:vAlign w:val="center"/>
          </w:tcPr>
          <w:p>
            <w:pPr>
              <w:pStyle w:val="52"/>
              <w:rPr>
                <w:rFonts w:eastAsia="仿宋"/>
                <w:color w:val="auto"/>
                <w:sz w:val="21"/>
                <w:highlight w:val="none"/>
              </w:rPr>
            </w:pPr>
            <w:r>
              <w:rPr>
                <w:rFonts w:eastAsia="仿宋"/>
                <w:color w:val="auto"/>
                <w:sz w:val="21"/>
                <w:highlight w:val="none"/>
              </w:rPr>
              <w:t>抗震设防烈度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725" w:type="pct"/>
            <w:gridSpan w:val="5"/>
            <w:vMerge w:val="continue"/>
            <w:vAlign w:val="center"/>
          </w:tcPr>
          <w:p>
            <w:pPr>
              <w:pStyle w:val="52"/>
              <w:rPr>
                <w:rFonts w:eastAsia="仿宋"/>
                <w:color w:val="auto"/>
                <w:sz w:val="21"/>
                <w:highlight w:val="none"/>
              </w:rPr>
            </w:pPr>
          </w:p>
        </w:tc>
        <w:tc>
          <w:tcPr>
            <w:tcW w:w="1179" w:type="pct"/>
            <w:gridSpan w:val="5"/>
            <w:vAlign w:val="center"/>
          </w:tcPr>
          <w:p>
            <w:pPr>
              <w:pStyle w:val="52"/>
              <w:rPr>
                <w:rFonts w:eastAsia="仿宋"/>
                <w:color w:val="auto"/>
                <w:sz w:val="21"/>
                <w:highlight w:val="none"/>
              </w:rPr>
            </w:pPr>
            <w:r>
              <w:rPr>
                <w:rFonts w:eastAsia="仿宋"/>
                <w:color w:val="auto"/>
                <w:sz w:val="21"/>
                <w:highlight w:val="none"/>
              </w:rPr>
              <w:t>7度</w:t>
            </w:r>
          </w:p>
        </w:tc>
        <w:tc>
          <w:tcPr>
            <w:tcW w:w="1096" w:type="pct"/>
            <w:gridSpan w:val="5"/>
            <w:vAlign w:val="center"/>
          </w:tcPr>
          <w:p>
            <w:pPr>
              <w:pStyle w:val="52"/>
              <w:rPr>
                <w:rFonts w:eastAsia="仿宋"/>
                <w:color w:val="auto"/>
                <w:sz w:val="21"/>
                <w:highlight w:val="none"/>
              </w:rPr>
            </w:pPr>
            <w:r>
              <w:rPr>
                <w:rFonts w:eastAsia="仿宋"/>
                <w:color w:val="auto"/>
                <w:sz w:val="21"/>
                <w:highlight w:val="none"/>
              </w:rPr>
              <w:t>8度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1" w:type="pct"/>
            <w:gridSpan w:val="2"/>
            <w:vMerge w:val="restart"/>
            <w:vAlign w:val="center"/>
          </w:tcPr>
          <w:p>
            <w:pPr>
              <w:pStyle w:val="52"/>
              <w:rPr>
                <w:rFonts w:eastAsia="仿宋"/>
                <w:color w:val="auto"/>
                <w:sz w:val="21"/>
                <w:highlight w:val="none"/>
              </w:rPr>
            </w:pPr>
            <w:r>
              <w:rPr>
                <w:rFonts w:eastAsia="仿宋"/>
                <w:color w:val="auto"/>
                <w:sz w:val="21"/>
                <w:highlight w:val="none"/>
              </w:rPr>
              <w:t>模块化框架结构</w:t>
            </w:r>
          </w:p>
        </w:tc>
        <w:tc>
          <w:tcPr>
            <w:tcW w:w="1634" w:type="pct"/>
            <w:gridSpan w:val="3"/>
            <w:vAlign w:val="center"/>
          </w:tcPr>
          <w:p>
            <w:pPr>
              <w:pStyle w:val="52"/>
              <w:rPr>
                <w:rFonts w:eastAsia="仿宋"/>
                <w:color w:val="auto"/>
                <w:sz w:val="21"/>
                <w:highlight w:val="none"/>
              </w:rPr>
            </w:pPr>
            <w:r>
              <w:rPr>
                <w:rFonts w:eastAsia="仿宋"/>
                <w:color w:val="auto"/>
                <w:sz w:val="21"/>
                <w:highlight w:val="none"/>
              </w:rPr>
              <w:t>高度</w:t>
            </w:r>
          </w:p>
        </w:tc>
        <w:tc>
          <w:tcPr>
            <w:tcW w:w="1179" w:type="pct"/>
            <w:gridSpan w:val="5"/>
            <w:vAlign w:val="center"/>
          </w:tcPr>
          <w:p>
            <w:pPr>
              <w:pStyle w:val="52"/>
              <w:rPr>
                <w:rFonts w:eastAsia="仿宋"/>
                <w:color w:val="auto"/>
                <w:sz w:val="21"/>
                <w:highlight w:val="none"/>
              </w:rPr>
            </w:pPr>
            <w:r>
              <w:rPr>
                <w:rFonts w:eastAsia="仿宋"/>
                <w:color w:val="auto"/>
                <w:sz w:val="21"/>
                <w:highlight w:val="none"/>
              </w:rPr>
              <w:t>≤24m</w:t>
            </w:r>
          </w:p>
          <w:p>
            <w:pPr>
              <w:pStyle w:val="52"/>
              <w:rPr>
                <w:rFonts w:eastAsia="仿宋"/>
                <w:color w:val="auto"/>
                <w:sz w:val="21"/>
                <w:highlight w:val="none"/>
              </w:rPr>
            </w:pPr>
            <w:r>
              <w:rPr>
                <w:rFonts w:eastAsia="仿宋"/>
                <w:color w:val="auto"/>
                <w:sz w:val="21"/>
                <w:highlight w:val="none"/>
              </w:rPr>
              <w:t>且≤6层</w:t>
            </w:r>
          </w:p>
        </w:tc>
        <w:tc>
          <w:tcPr>
            <w:tcW w:w="1096" w:type="pct"/>
            <w:gridSpan w:val="5"/>
            <w:vAlign w:val="center"/>
          </w:tcPr>
          <w:p>
            <w:pPr>
              <w:pStyle w:val="52"/>
              <w:rPr>
                <w:rFonts w:eastAsia="仿宋"/>
                <w:color w:val="auto"/>
                <w:sz w:val="21"/>
                <w:highlight w:val="none"/>
              </w:rPr>
            </w:pPr>
            <w:r>
              <w:rPr>
                <w:rFonts w:eastAsia="仿宋"/>
                <w:color w:val="auto"/>
                <w:sz w:val="21"/>
                <w:highlight w:val="none"/>
              </w:rPr>
              <w:t>≤20m</w:t>
            </w:r>
          </w:p>
          <w:p>
            <w:pPr>
              <w:pStyle w:val="52"/>
              <w:rPr>
                <w:rFonts w:eastAsia="仿宋"/>
                <w:color w:val="auto"/>
                <w:sz w:val="21"/>
                <w:highlight w:val="none"/>
              </w:rPr>
            </w:pPr>
            <w:r>
              <w:rPr>
                <w:rFonts w:eastAsia="仿宋"/>
                <w:color w:val="auto"/>
                <w:sz w:val="21"/>
                <w:highlight w:val="none"/>
              </w:rPr>
              <w:t>且≤5层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pct"/>
            <w:gridSpan w:val="2"/>
            <w:vMerge w:val="continue"/>
            <w:vAlign w:val="center"/>
          </w:tcPr>
          <w:p>
            <w:pPr>
              <w:pStyle w:val="52"/>
              <w:rPr>
                <w:rFonts w:eastAsia="仿宋"/>
                <w:color w:val="auto"/>
                <w:sz w:val="21"/>
                <w:highlight w:val="none"/>
              </w:rPr>
            </w:pPr>
          </w:p>
        </w:tc>
        <w:tc>
          <w:tcPr>
            <w:tcW w:w="1634" w:type="pct"/>
            <w:gridSpan w:val="3"/>
            <w:vAlign w:val="center"/>
          </w:tcPr>
          <w:p>
            <w:pPr>
              <w:pStyle w:val="52"/>
              <w:rPr>
                <w:rFonts w:eastAsia="仿宋"/>
                <w:color w:val="auto"/>
                <w:sz w:val="21"/>
                <w:highlight w:val="none"/>
              </w:rPr>
            </w:pPr>
            <w:r>
              <w:rPr>
                <w:rFonts w:eastAsia="仿宋"/>
                <w:color w:val="auto"/>
                <w:sz w:val="21"/>
                <w:highlight w:val="none"/>
              </w:rPr>
              <w:t>框架</w:t>
            </w:r>
          </w:p>
        </w:tc>
        <w:tc>
          <w:tcPr>
            <w:tcW w:w="1179" w:type="pct"/>
            <w:gridSpan w:val="5"/>
            <w:vAlign w:val="center"/>
          </w:tcPr>
          <w:p>
            <w:pPr>
              <w:pStyle w:val="52"/>
              <w:rPr>
                <w:rFonts w:eastAsia="仿宋"/>
                <w:color w:val="auto"/>
                <w:sz w:val="21"/>
                <w:highlight w:val="none"/>
              </w:rPr>
            </w:pPr>
            <w:r>
              <w:rPr>
                <w:rFonts w:eastAsia="仿宋"/>
                <w:color w:val="auto"/>
                <w:sz w:val="21"/>
                <w:highlight w:val="none"/>
              </w:rPr>
              <w:t>三</w:t>
            </w:r>
          </w:p>
        </w:tc>
        <w:tc>
          <w:tcPr>
            <w:tcW w:w="1096" w:type="pct"/>
            <w:gridSpan w:val="5"/>
            <w:vAlign w:val="center"/>
          </w:tcPr>
          <w:p>
            <w:pPr>
              <w:pStyle w:val="52"/>
              <w:rPr>
                <w:rFonts w:eastAsia="仿宋"/>
                <w:color w:val="auto"/>
                <w:sz w:val="21"/>
                <w:highlight w:val="none"/>
              </w:rPr>
            </w:pPr>
            <w:r>
              <w:rPr>
                <w:rFonts w:eastAsia="仿宋"/>
                <w:color w:val="auto"/>
                <w:sz w:val="21"/>
                <w:highlight w:val="none"/>
              </w:rPr>
              <w:t>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1" w:type="pct"/>
            <w:gridSpan w:val="2"/>
            <w:vMerge w:val="restart"/>
            <w:vAlign w:val="center"/>
          </w:tcPr>
          <w:p>
            <w:pPr>
              <w:pStyle w:val="52"/>
              <w:snapToGrid w:val="0"/>
              <w:rPr>
                <w:rFonts w:eastAsia="仿宋"/>
                <w:color w:val="auto"/>
                <w:sz w:val="21"/>
                <w:highlight w:val="none"/>
              </w:rPr>
            </w:pPr>
            <w:r>
              <w:rPr>
                <w:rFonts w:eastAsia="仿宋"/>
                <w:color w:val="auto"/>
                <w:sz w:val="21"/>
                <w:highlight w:val="none"/>
              </w:rPr>
              <w:t>模块化预制</w:t>
            </w:r>
          </w:p>
          <w:p>
            <w:pPr>
              <w:pStyle w:val="52"/>
              <w:snapToGrid w:val="0"/>
              <w:rPr>
                <w:rFonts w:eastAsia="仿宋"/>
                <w:color w:val="auto"/>
                <w:sz w:val="21"/>
                <w:highlight w:val="none"/>
              </w:rPr>
            </w:pPr>
            <w:r>
              <w:rPr>
                <w:rFonts w:eastAsia="仿宋"/>
                <w:color w:val="auto"/>
                <w:sz w:val="21"/>
                <w:highlight w:val="none"/>
              </w:rPr>
              <w:t>剪力墙结构</w:t>
            </w:r>
          </w:p>
        </w:tc>
        <w:tc>
          <w:tcPr>
            <w:tcW w:w="663" w:type="pct"/>
            <w:vMerge w:val="restart"/>
            <w:vAlign w:val="center"/>
          </w:tcPr>
          <w:p>
            <w:pPr>
              <w:pStyle w:val="52"/>
              <w:snapToGrid w:val="0"/>
              <w:rPr>
                <w:rFonts w:eastAsia="仿宋"/>
                <w:color w:val="auto"/>
                <w:sz w:val="21"/>
                <w:highlight w:val="none"/>
              </w:rPr>
            </w:pPr>
            <w:r>
              <w:rPr>
                <w:rFonts w:eastAsia="仿宋"/>
                <w:color w:val="auto"/>
                <w:sz w:val="21"/>
                <w:highlight w:val="none"/>
              </w:rPr>
              <w:t>全部落地</w:t>
            </w:r>
          </w:p>
          <w:p>
            <w:pPr>
              <w:pStyle w:val="52"/>
              <w:snapToGrid w:val="0"/>
              <w:rPr>
                <w:rFonts w:eastAsia="仿宋"/>
                <w:color w:val="auto"/>
                <w:sz w:val="21"/>
                <w:highlight w:val="none"/>
              </w:rPr>
            </w:pPr>
            <w:r>
              <w:rPr>
                <w:rFonts w:eastAsia="仿宋"/>
                <w:color w:val="auto"/>
                <w:sz w:val="21"/>
                <w:highlight w:val="none"/>
              </w:rPr>
              <w:t>剪力墙</w:t>
            </w:r>
          </w:p>
        </w:tc>
        <w:tc>
          <w:tcPr>
            <w:tcW w:w="971" w:type="pct"/>
            <w:gridSpan w:val="2"/>
            <w:vAlign w:val="center"/>
          </w:tcPr>
          <w:p>
            <w:pPr>
              <w:pStyle w:val="52"/>
              <w:snapToGrid w:val="0"/>
              <w:rPr>
                <w:rFonts w:eastAsia="仿宋"/>
                <w:color w:val="auto"/>
                <w:sz w:val="21"/>
                <w:highlight w:val="none"/>
              </w:rPr>
            </w:pPr>
            <w:r>
              <w:rPr>
                <w:rFonts w:eastAsia="仿宋"/>
                <w:color w:val="auto"/>
                <w:sz w:val="21"/>
                <w:highlight w:val="none"/>
              </w:rPr>
              <w:t>高度</w:t>
            </w:r>
          </w:p>
        </w:tc>
        <w:tc>
          <w:tcPr>
            <w:tcW w:w="453" w:type="pct"/>
            <w:vAlign w:val="center"/>
          </w:tcPr>
          <w:p>
            <w:pPr>
              <w:pStyle w:val="52"/>
              <w:adjustRightInd/>
              <w:rPr>
                <w:rFonts w:eastAsia="仿宋"/>
                <w:color w:val="auto"/>
                <w:sz w:val="21"/>
                <w:highlight w:val="none"/>
              </w:rPr>
            </w:pPr>
            <w:r>
              <w:rPr>
                <w:rFonts w:eastAsia="仿宋"/>
                <w:color w:val="auto"/>
                <w:sz w:val="21"/>
                <w:highlight w:val="none"/>
              </w:rPr>
              <w:t>≤24</w:t>
            </w:r>
          </w:p>
        </w:tc>
        <w:tc>
          <w:tcPr>
            <w:tcW w:w="307" w:type="pct"/>
            <w:gridSpan w:val="2"/>
            <w:vAlign w:val="center"/>
          </w:tcPr>
          <w:p>
            <w:pPr>
              <w:pStyle w:val="52"/>
              <w:adjustRightInd/>
              <w:rPr>
                <w:rFonts w:eastAsia="仿宋"/>
                <w:color w:val="auto"/>
                <w:sz w:val="21"/>
                <w:highlight w:val="none"/>
              </w:rPr>
            </w:pPr>
            <w:r>
              <w:rPr>
                <w:rFonts w:eastAsia="仿宋"/>
                <w:color w:val="auto"/>
                <w:sz w:val="21"/>
                <w:highlight w:val="none"/>
              </w:rPr>
              <w:t>25~70</w:t>
            </w:r>
          </w:p>
        </w:tc>
        <w:tc>
          <w:tcPr>
            <w:tcW w:w="420" w:type="pct"/>
            <w:gridSpan w:val="2"/>
            <w:vAlign w:val="center"/>
          </w:tcPr>
          <w:p>
            <w:pPr>
              <w:pStyle w:val="52"/>
              <w:adjustRightInd/>
              <w:rPr>
                <w:rFonts w:eastAsia="仿宋"/>
                <w:color w:val="auto"/>
                <w:sz w:val="21"/>
                <w:highlight w:val="none"/>
              </w:rPr>
            </w:pPr>
            <w:r>
              <w:rPr>
                <w:rFonts w:eastAsia="仿宋"/>
                <w:color w:val="auto"/>
                <w:sz w:val="21"/>
                <w:highlight w:val="none"/>
              </w:rPr>
              <w:t>＞70</w:t>
            </w:r>
          </w:p>
        </w:tc>
        <w:tc>
          <w:tcPr>
            <w:tcW w:w="333" w:type="pct"/>
            <w:vAlign w:val="center"/>
          </w:tcPr>
          <w:p>
            <w:pPr>
              <w:pStyle w:val="52"/>
              <w:adjustRightInd/>
              <w:rPr>
                <w:rFonts w:eastAsia="仿宋"/>
                <w:color w:val="auto"/>
                <w:sz w:val="21"/>
                <w:highlight w:val="none"/>
              </w:rPr>
            </w:pPr>
            <w:r>
              <w:rPr>
                <w:rFonts w:eastAsia="仿宋"/>
                <w:color w:val="auto"/>
                <w:sz w:val="21"/>
                <w:highlight w:val="none"/>
              </w:rPr>
              <w:t>≤24</w:t>
            </w:r>
          </w:p>
        </w:tc>
        <w:tc>
          <w:tcPr>
            <w:tcW w:w="354" w:type="pct"/>
            <w:gridSpan w:val="3"/>
            <w:vAlign w:val="center"/>
          </w:tcPr>
          <w:p>
            <w:pPr>
              <w:pStyle w:val="52"/>
              <w:adjustRightInd/>
              <w:rPr>
                <w:rFonts w:eastAsia="仿宋"/>
                <w:color w:val="auto"/>
                <w:sz w:val="21"/>
                <w:highlight w:val="none"/>
              </w:rPr>
            </w:pPr>
            <w:r>
              <w:rPr>
                <w:rFonts w:eastAsia="仿宋"/>
                <w:color w:val="auto"/>
                <w:sz w:val="21"/>
                <w:highlight w:val="none"/>
              </w:rPr>
              <w:t>25~70</w:t>
            </w:r>
          </w:p>
        </w:tc>
        <w:tc>
          <w:tcPr>
            <w:tcW w:w="409" w:type="pct"/>
            <w:vAlign w:val="center"/>
          </w:tcPr>
          <w:p>
            <w:pPr>
              <w:pStyle w:val="52"/>
              <w:adjustRightInd/>
              <w:rPr>
                <w:rFonts w:eastAsia="仿宋"/>
                <w:color w:val="auto"/>
                <w:sz w:val="21"/>
                <w:highlight w:val="none"/>
              </w:rPr>
            </w:pPr>
            <w:r>
              <w:rPr>
                <w:rFonts w:eastAsia="仿宋"/>
                <w:color w:val="auto"/>
                <w:sz w:val="21"/>
                <w:highlight w:val="none"/>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pct"/>
            <w:gridSpan w:val="2"/>
            <w:vMerge w:val="continue"/>
            <w:vAlign w:val="center"/>
          </w:tcPr>
          <w:p>
            <w:pPr>
              <w:pStyle w:val="52"/>
              <w:rPr>
                <w:rFonts w:eastAsia="仿宋"/>
                <w:color w:val="auto"/>
                <w:sz w:val="21"/>
                <w:highlight w:val="none"/>
              </w:rPr>
            </w:pPr>
          </w:p>
        </w:tc>
        <w:tc>
          <w:tcPr>
            <w:tcW w:w="663" w:type="pct"/>
            <w:vMerge w:val="continue"/>
            <w:vAlign w:val="center"/>
          </w:tcPr>
          <w:p>
            <w:pPr>
              <w:pStyle w:val="52"/>
              <w:snapToGrid w:val="0"/>
              <w:rPr>
                <w:rFonts w:eastAsia="仿宋"/>
                <w:color w:val="auto"/>
                <w:sz w:val="21"/>
                <w:highlight w:val="none"/>
              </w:rPr>
            </w:pPr>
          </w:p>
        </w:tc>
        <w:tc>
          <w:tcPr>
            <w:tcW w:w="971" w:type="pct"/>
            <w:gridSpan w:val="2"/>
            <w:vAlign w:val="center"/>
          </w:tcPr>
          <w:p>
            <w:pPr>
              <w:pStyle w:val="52"/>
              <w:snapToGrid w:val="0"/>
              <w:rPr>
                <w:rFonts w:eastAsia="仿宋"/>
                <w:color w:val="auto"/>
                <w:sz w:val="21"/>
                <w:highlight w:val="none"/>
              </w:rPr>
            </w:pPr>
            <w:r>
              <w:rPr>
                <w:rFonts w:eastAsia="仿宋"/>
                <w:color w:val="auto"/>
                <w:sz w:val="21"/>
                <w:highlight w:val="none"/>
              </w:rPr>
              <w:t>剪力墙</w:t>
            </w:r>
          </w:p>
        </w:tc>
        <w:tc>
          <w:tcPr>
            <w:tcW w:w="453" w:type="pct"/>
            <w:vAlign w:val="center"/>
          </w:tcPr>
          <w:p>
            <w:pPr>
              <w:pStyle w:val="52"/>
              <w:adjustRightInd/>
              <w:rPr>
                <w:rFonts w:eastAsia="仿宋"/>
                <w:color w:val="auto"/>
                <w:sz w:val="21"/>
                <w:highlight w:val="none"/>
              </w:rPr>
            </w:pPr>
            <w:r>
              <w:rPr>
                <w:rFonts w:eastAsia="仿宋"/>
                <w:color w:val="auto"/>
                <w:sz w:val="21"/>
                <w:highlight w:val="none"/>
              </w:rPr>
              <w:t>四</w:t>
            </w:r>
          </w:p>
        </w:tc>
        <w:tc>
          <w:tcPr>
            <w:tcW w:w="307" w:type="pct"/>
            <w:gridSpan w:val="2"/>
            <w:vAlign w:val="center"/>
          </w:tcPr>
          <w:p>
            <w:pPr>
              <w:pStyle w:val="52"/>
              <w:adjustRightInd/>
              <w:rPr>
                <w:rFonts w:eastAsia="仿宋"/>
                <w:color w:val="auto"/>
                <w:sz w:val="21"/>
                <w:highlight w:val="none"/>
              </w:rPr>
            </w:pPr>
            <w:r>
              <w:rPr>
                <w:rFonts w:eastAsia="仿宋"/>
                <w:color w:val="auto"/>
                <w:sz w:val="21"/>
                <w:highlight w:val="none"/>
              </w:rPr>
              <w:t>三</w:t>
            </w:r>
          </w:p>
        </w:tc>
        <w:tc>
          <w:tcPr>
            <w:tcW w:w="420" w:type="pct"/>
            <w:gridSpan w:val="2"/>
            <w:vAlign w:val="center"/>
          </w:tcPr>
          <w:p>
            <w:pPr>
              <w:pStyle w:val="52"/>
              <w:adjustRightInd/>
              <w:rPr>
                <w:rFonts w:eastAsia="仿宋"/>
                <w:color w:val="auto"/>
                <w:sz w:val="21"/>
                <w:highlight w:val="none"/>
              </w:rPr>
            </w:pPr>
            <w:r>
              <w:rPr>
                <w:rFonts w:eastAsia="仿宋"/>
                <w:color w:val="auto"/>
                <w:sz w:val="21"/>
                <w:highlight w:val="none"/>
              </w:rPr>
              <w:t>二</w:t>
            </w:r>
          </w:p>
        </w:tc>
        <w:tc>
          <w:tcPr>
            <w:tcW w:w="333" w:type="pct"/>
            <w:vAlign w:val="center"/>
          </w:tcPr>
          <w:p>
            <w:pPr>
              <w:pStyle w:val="52"/>
              <w:adjustRightInd/>
              <w:rPr>
                <w:rFonts w:eastAsia="仿宋"/>
                <w:color w:val="auto"/>
                <w:sz w:val="21"/>
                <w:highlight w:val="none"/>
              </w:rPr>
            </w:pPr>
            <w:r>
              <w:rPr>
                <w:rFonts w:eastAsia="仿宋"/>
                <w:color w:val="auto"/>
                <w:sz w:val="21"/>
                <w:highlight w:val="none"/>
              </w:rPr>
              <w:t>三</w:t>
            </w:r>
          </w:p>
        </w:tc>
        <w:tc>
          <w:tcPr>
            <w:tcW w:w="354" w:type="pct"/>
            <w:gridSpan w:val="3"/>
            <w:vAlign w:val="center"/>
          </w:tcPr>
          <w:p>
            <w:pPr>
              <w:pStyle w:val="52"/>
              <w:adjustRightInd/>
              <w:rPr>
                <w:rFonts w:eastAsia="仿宋"/>
                <w:color w:val="auto"/>
                <w:sz w:val="21"/>
                <w:highlight w:val="none"/>
              </w:rPr>
            </w:pPr>
            <w:r>
              <w:rPr>
                <w:rFonts w:eastAsia="仿宋"/>
                <w:color w:val="auto"/>
                <w:sz w:val="21"/>
                <w:highlight w:val="none"/>
              </w:rPr>
              <w:t>二</w:t>
            </w:r>
          </w:p>
        </w:tc>
        <w:tc>
          <w:tcPr>
            <w:tcW w:w="409" w:type="pct"/>
            <w:vAlign w:val="center"/>
          </w:tcPr>
          <w:p>
            <w:pPr>
              <w:pStyle w:val="52"/>
              <w:adjustRightInd/>
              <w:rPr>
                <w:rFonts w:eastAsia="仿宋"/>
                <w:color w:val="auto"/>
                <w:sz w:val="21"/>
                <w:highlight w:val="none"/>
              </w:rPr>
            </w:pPr>
            <w:r>
              <w:rPr>
                <w:rFonts w:eastAsia="仿宋"/>
                <w:color w:val="auto"/>
                <w:sz w:val="21"/>
                <w:highlight w:val="none"/>
              </w:rPr>
              <w:t>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1" w:type="pct"/>
            <w:gridSpan w:val="2"/>
            <w:vMerge w:val="continue"/>
            <w:vAlign w:val="center"/>
          </w:tcPr>
          <w:p>
            <w:pPr>
              <w:pStyle w:val="52"/>
              <w:rPr>
                <w:rFonts w:eastAsia="仿宋"/>
                <w:color w:val="auto"/>
                <w:sz w:val="21"/>
                <w:highlight w:val="none"/>
              </w:rPr>
            </w:pPr>
          </w:p>
        </w:tc>
        <w:tc>
          <w:tcPr>
            <w:tcW w:w="663" w:type="pct"/>
            <w:vMerge w:val="restart"/>
            <w:vAlign w:val="center"/>
          </w:tcPr>
          <w:p>
            <w:pPr>
              <w:pStyle w:val="52"/>
              <w:snapToGrid w:val="0"/>
              <w:rPr>
                <w:rFonts w:eastAsia="仿宋"/>
                <w:color w:val="auto"/>
                <w:sz w:val="21"/>
                <w:highlight w:val="none"/>
              </w:rPr>
            </w:pPr>
            <w:r>
              <w:rPr>
                <w:rFonts w:eastAsia="仿宋"/>
                <w:color w:val="auto"/>
                <w:sz w:val="21"/>
                <w:highlight w:val="none"/>
              </w:rPr>
              <w:t>部分框支</w:t>
            </w:r>
          </w:p>
          <w:p>
            <w:pPr>
              <w:pStyle w:val="52"/>
              <w:snapToGrid w:val="0"/>
              <w:rPr>
                <w:rFonts w:eastAsia="仿宋"/>
                <w:color w:val="auto"/>
                <w:sz w:val="21"/>
                <w:highlight w:val="none"/>
              </w:rPr>
            </w:pPr>
            <w:r>
              <w:rPr>
                <w:rFonts w:eastAsia="仿宋"/>
                <w:color w:val="auto"/>
                <w:sz w:val="21"/>
                <w:highlight w:val="none"/>
              </w:rPr>
              <w:t>剪力墙</w:t>
            </w:r>
          </w:p>
        </w:tc>
        <w:tc>
          <w:tcPr>
            <w:tcW w:w="971" w:type="pct"/>
            <w:gridSpan w:val="2"/>
            <w:vAlign w:val="center"/>
          </w:tcPr>
          <w:p>
            <w:pPr>
              <w:pStyle w:val="52"/>
              <w:snapToGrid w:val="0"/>
              <w:rPr>
                <w:rFonts w:eastAsia="仿宋"/>
                <w:color w:val="auto"/>
                <w:sz w:val="21"/>
                <w:highlight w:val="none"/>
              </w:rPr>
            </w:pPr>
            <w:r>
              <w:rPr>
                <w:rFonts w:eastAsia="仿宋"/>
                <w:color w:val="auto"/>
                <w:sz w:val="21"/>
                <w:highlight w:val="none"/>
              </w:rPr>
              <w:t>高度</w:t>
            </w:r>
          </w:p>
        </w:tc>
        <w:tc>
          <w:tcPr>
            <w:tcW w:w="453" w:type="pct"/>
            <w:vAlign w:val="center"/>
          </w:tcPr>
          <w:p>
            <w:pPr>
              <w:pStyle w:val="52"/>
              <w:snapToGrid w:val="0"/>
              <w:rPr>
                <w:rFonts w:eastAsia="仿宋"/>
                <w:color w:val="auto"/>
                <w:sz w:val="21"/>
                <w:highlight w:val="none"/>
              </w:rPr>
            </w:pPr>
            <w:r>
              <w:rPr>
                <w:rFonts w:eastAsia="仿宋"/>
                <w:color w:val="auto"/>
                <w:sz w:val="21"/>
                <w:highlight w:val="none"/>
              </w:rPr>
              <w:t>≤24</w:t>
            </w:r>
          </w:p>
        </w:tc>
        <w:tc>
          <w:tcPr>
            <w:tcW w:w="307" w:type="pct"/>
            <w:gridSpan w:val="2"/>
            <w:vAlign w:val="center"/>
          </w:tcPr>
          <w:p>
            <w:pPr>
              <w:pStyle w:val="52"/>
              <w:snapToGrid w:val="0"/>
              <w:rPr>
                <w:rFonts w:eastAsia="仿宋"/>
                <w:color w:val="auto"/>
                <w:sz w:val="21"/>
                <w:highlight w:val="none"/>
              </w:rPr>
            </w:pPr>
            <w:r>
              <w:rPr>
                <w:rFonts w:eastAsia="仿宋"/>
                <w:color w:val="auto"/>
                <w:sz w:val="21"/>
                <w:highlight w:val="none"/>
              </w:rPr>
              <w:t>25~70</w:t>
            </w:r>
          </w:p>
        </w:tc>
        <w:tc>
          <w:tcPr>
            <w:tcW w:w="420" w:type="pct"/>
            <w:gridSpan w:val="2"/>
            <w:vAlign w:val="center"/>
          </w:tcPr>
          <w:p>
            <w:pPr>
              <w:pStyle w:val="52"/>
              <w:snapToGrid w:val="0"/>
              <w:rPr>
                <w:rFonts w:eastAsia="仿宋"/>
                <w:color w:val="auto"/>
                <w:sz w:val="21"/>
                <w:highlight w:val="none"/>
              </w:rPr>
            </w:pPr>
            <w:r>
              <w:rPr>
                <w:rFonts w:eastAsia="仿宋"/>
                <w:color w:val="auto"/>
                <w:sz w:val="21"/>
                <w:highlight w:val="none"/>
              </w:rPr>
              <w:t>＞70</w:t>
            </w:r>
          </w:p>
        </w:tc>
        <w:tc>
          <w:tcPr>
            <w:tcW w:w="333" w:type="pct"/>
            <w:vAlign w:val="center"/>
          </w:tcPr>
          <w:p>
            <w:pPr>
              <w:pStyle w:val="52"/>
              <w:snapToGrid w:val="0"/>
              <w:rPr>
                <w:rFonts w:eastAsia="仿宋"/>
                <w:color w:val="auto"/>
                <w:sz w:val="21"/>
                <w:highlight w:val="none"/>
              </w:rPr>
            </w:pPr>
            <w:r>
              <w:rPr>
                <w:rFonts w:eastAsia="仿宋"/>
                <w:color w:val="auto"/>
                <w:sz w:val="21"/>
                <w:highlight w:val="none"/>
              </w:rPr>
              <w:t>≤24</w:t>
            </w:r>
          </w:p>
        </w:tc>
        <w:tc>
          <w:tcPr>
            <w:tcW w:w="354" w:type="pct"/>
            <w:gridSpan w:val="3"/>
            <w:vAlign w:val="center"/>
          </w:tcPr>
          <w:p>
            <w:pPr>
              <w:pStyle w:val="52"/>
              <w:snapToGrid w:val="0"/>
              <w:rPr>
                <w:rFonts w:eastAsia="仿宋"/>
                <w:color w:val="auto"/>
                <w:sz w:val="21"/>
                <w:highlight w:val="none"/>
              </w:rPr>
            </w:pPr>
            <w:r>
              <w:rPr>
                <w:rFonts w:eastAsia="仿宋"/>
                <w:color w:val="auto"/>
                <w:sz w:val="21"/>
                <w:highlight w:val="none"/>
              </w:rPr>
              <w:t>25~70</w:t>
            </w:r>
          </w:p>
        </w:tc>
        <w:tc>
          <w:tcPr>
            <w:tcW w:w="409" w:type="pct"/>
            <w:vMerge w:val="restart"/>
            <w:vAlign w:val="center"/>
          </w:tcPr>
          <w:p>
            <w:pPr>
              <w:pStyle w:val="52"/>
              <w:snapToGrid w:val="0"/>
              <w:rPr>
                <w:rFonts w:eastAsia="仿宋"/>
                <w:color w:val="auto"/>
                <w:sz w:val="21"/>
                <w:highlight w:val="none"/>
              </w:rPr>
            </w:pPr>
            <w:r>
              <w:rPr>
                <w:rFonts w:eastAsia="仿宋"/>
                <w:color w:val="auto"/>
                <w:sz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pct"/>
            <w:gridSpan w:val="2"/>
            <w:vMerge w:val="continue"/>
            <w:vAlign w:val="center"/>
          </w:tcPr>
          <w:p>
            <w:pPr>
              <w:pStyle w:val="52"/>
              <w:rPr>
                <w:rFonts w:eastAsia="仿宋"/>
                <w:color w:val="auto"/>
                <w:sz w:val="21"/>
                <w:highlight w:val="none"/>
              </w:rPr>
            </w:pPr>
          </w:p>
        </w:tc>
        <w:tc>
          <w:tcPr>
            <w:tcW w:w="663" w:type="pct"/>
            <w:vMerge w:val="continue"/>
            <w:vAlign w:val="center"/>
          </w:tcPr>
          <w:p>
            <w:pPr>
              <w:pStyle w:val="52"/>
              <w:snapToGrid w:val="0"/>
              <w:rPr>
                <w:rFonts w:eastAsia="仿宋"/>
                <w:color w:val="auto"/>
                <w:sz w:val="21"/>
                <w:highlight w:val="none"/>
              </w:rPr>
            </w:pPr>
          </w:p>
        </w:tc>
        <w:tc>
          <w:tcPr>
            <w:tcW w:w="971" w:type="pct"/>
            <w:gridSpan w:val="2"/>
            <w:vAlign w:val="center"/>
          </w:tcPr>
          <w:p>
            <w:pPr>
              <w:pStyle w:val="52"/>
              <w:snapToGrid w:val="0"/>
              <w:rPr>
                <w:rFonts w:eastAsia="仿宋"/>
                <w:color w:val="auto"/>
                <w:sz w:val="21"/>
                <w:highlight w:val="none"/>
              </w:rPr>
            </w:pPr>
            <w:r>
              <w:rPr>
                <w:rFonts w:eastAsia="仿宋"/>
                <w:color w:val="auto"/>
                <w:sz w:val="21"/>
                <w:highlight w:val="none"/>
              </w:rPr>
              <w:t>框支框架</w:t>
            </w:r>
          </w:p>
        </w:tc>
        <w:tc>
          <w:tcPr>
            <w:tcW w:w="453" w:type="pct"/>
            <w:vAlign w:val="center"/>
          </w:tcPr>
          <w:p>
            <w:pPr>
              <w:pStyle w:val="52"/>
              <w:snapToGrid w:val="0"/>
              <w:rPr>
                <w:rFonts w:eastAsia="仿宋"/>
                <w:color w:val="auto"/>
                <w:sz w:val="21"/>
                <w:highlight w:val="none"/>
              </w:rPr>
            </w:pPr>
            <w:r>
              <w:rPr>
                <w:rFonts w:eastAsia="仿宋"/>
                <w:color w:val="auto"/>
                <w:sz w:val="21"/>
                <w:highlight w:val="none"/>
              </w:rPr>
              <w:t>二</w:t>
            </w:r>
          </w:p>
        </w:tc>
        <w:tc>
          <w:tcPr>
            <w:tcW w:w="307" w:type="pct"/>
            <w:gridSpan w:val="2"/>
            <w:vAlign w:val="center"/>
          </w:tcPr>
          <w:p>
            <w:pPr>
              <w:pStyle w:val="52"/>
              <w:snapToGrid w:val="0"/>
              <w:rPr>
                <w:rFonts w:eastAsia="仿宋"/>
                <w:color w:val="auto"/>
                <w:sz w:val="21"/>
                <w:highlight w:val="none"/>
              </w:rPr>
            </w:pPr>
            <w:r>
              <w:rPr>
                <w:rFonts w:eastAsia="仿宋"/>
                <w:color w:val="auto"/>
                <w:sz w:val="21"/>
                <w:highlight w:val="none"/>
              </w:rPr>
              <w:t>二</w:t>
            </w:r>
          </w:p>
        </w:tc>
        <w:tc>
          <w:tcPr>
            <w:tcW w:w="420" w:type="pct"/>
            <w:gridSpan w:val="2"/>
            <w:vAlign w:val="center"/>
          </w:tcPr>
          <w:p>
            <w:pPr>
              <w:pStyle w:val="52"/>
              <w:snapToGrid w:val="0"/>
              <w:rPr>
                <w:rFonts w:eastAsia="仿宋"/>
                <w:color w:val="auto"/>
                <w:sz w:val="21"/>
                <w:highlight w:val="none"/>
              </w:rPr>
            </w:pPr>
            <w:r>
              <w:rPr>
                <w:rFonts w:eastAsia="仿宋"/>
                <w:color w:val="auto"/>
                <w:sz w:val="21"/>
                <w:highlight w:val="none"/>
              </w:rPr>
              <w:t>一</w:t>
            </w:r>
          </w:p>
        </w:tc>
        <w:tc>
          <w:tcPr>
            <w:tcW w:w="333" w:type="pct"/>
            <w:vAlign w:val="center"/>
          </w:tcPr>
          <w:p>
            <w:pPr>
              <w:pStyle w:val="52"/>
              <w:snapToGrid w:val="0"/>
              <w:rPr>
                <w:rFonts w:eastAsia="仿宋"/>
                <w:color w:val="auto"/>
                <w:sz w:val="21"/>
                <w:highlight w:val="none"/>
              </w:rPr>
            </w:pPr>
            <w:r>
              <w:rPr>
                <w:rFonts w:eastAsia="仿宋"/>
                <w:color w:val="auto"/>
                <w:sz w:val="21"/>
                <w:highlight w:val="none"/>
              </w:rPr>
              <w:t>一</w:t>
            </w:r>
          </w:p>
        </w:tc>
        <w:tc>
          <w:tcPr>
            <w:tcW w:w="354" w:type="pct"/>
            <w:gridSpan w:val="3"/>
            <w:vAlign w:val="center"/>
          </w:tcPr>
          <w:p>
            <w:pPr>
              <w:pStyle w:val="52"/>
              <w:snapToGrid w:val="0"/>
              <w:rPr>
                <w:rFonts w:eastAsia="仿宋"/>
                <w:color w:val="auto"/>
                <w:sz w:val="21"/>
                <w:highlight w:val="none"/>
              </w:rPr>
            </w:pPr>
            <w:r>
              <w:rPr>
                <w:rFonts w:eastAsia="仿宋"/>
                <w:color w:val="auto"/>
                <w:sz w:val="21"/>
                <w:highlight w:val="none"/>
              </w:rPr>
              <w:t>一</w:t>
            </w:r>
          </w:p>
        </w:tc>
        <w:tc>
          <w:tcPr>
            <w:tcW w:w="409" w:type="pct"/>
            <w:vMerge w:val="continue"/>
            <w:vAlign w:val="center"/>
          </w:tcPr>
          <w:p>
            <w:pPr>
              <w:pStyle w:val="52"/>
              <w:snapToGrid w:val="0"/>
              <w:rPr>
                <w:rFonts w:eastAsia="仿宋"/>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1" w:type="pct"/>
            <w:gridSpan w:val="2"/>
            <w:vMerge w:val="continue"/>
            <w:vAlign w:val="center"/>
          </w:tcPr>
          <w:p>
            <w:pPr>
              <w:pStyle w:val="52"/>
              <w:rPr>
                <w:rFonts w:eastAsia="仿宋"/>
                <w:color w:val="auto"/>
                <w:sz w:val="21"/>
                <w:highlight w:val="none"/>
              </w:rPr>
            </w:pPr>
          </w:p>
        </w:tc>
        <w:tc>
          <w:tcPr>
            <w:tcW w:w="663" w:type="pct"/>
            <w:vMerge w:val="continue"/>
            <w:vAlign w:val="center"/>
          </w:tcPr>
          <w:p>
            <w:pPr>
              <w:pStyle w:val="52"/>
              <w:snapToGrid w:val="0"/>
              <w:rPr>
                <w:rFonts w:eastAsia="仿宋"/>
                <w:color w:val="auto"/>
                <w:sz w:val="21"/>
                <w:highlight w:val="none"/>
              </w:rPr>
            </w:pPr>
          </w:p>
        </w:tc>
        <w:tc>
          <w:tcPr>
            <w:tcW w:w="445" w:type="pct"/>
            <w:vMerge w:val="restart"/>
            <w:vAlign w:val="center"/>
          </w:tcPr>
          <w:p>
            <w:pPr>
              <w:pStyle w:val="52"/>
              <w:snapToGrid w:val="0"/>
              <w:rPr>
                <w:rFonts w:eastAsia="仿宋"/>
                <w:color w:val="auto"/>
                <w:sz w:val="21"/>
                <w:highlight w:val="none"/>
              </w:rPr>
            </w:pPr>
            <w:r>
              <w:rPr>
                <w:rFonts w:eastAsia="仿宋"/>
                <w:color w:val="auto"/>
                <w:sz w:val="21"/>
                <w:highlight w:val="none"/>
              </w:rPr>
              <w:t>剪力墙</w:t>
            </w:r>
          </w:p>
        </w:tc>
        <w:tc>
          <w:tcPr>
            <w:tcW w:w="526" w:type="pct"/>
            <w:vAlign w:val="center"/>
          </w:tcPr>
          <w:p>
            <w:pPr>
              <w:pStyle w:val="52"/>
              <w:snapToGrid w:val="0"/>
              <w:rPr>
                <w:rFonts w:eastAsia="仿宋"/>
                <w:color w:val="auto"/>
                <w:sz w:val="21"/>
                <w:highlight w:val="none"/>
              </w:rPr>
            </w:pPr>
            <w:r>
              <w:rPr>
                <w:rFonts w:eastAsia="仿宋"/>
                <w:color w:val="auto"/>
                <w:sz w:val="21"/>
                <w:highlight w:val="none"/>
              </w:rPr>
              <w:t>加强</w:t>
            </w:r>
          </w:p>
          <w:p>
            <w:pPr>
              <w:pStyle w:val="52"/>
              <w:snapToGrid w:val="0"/>
              <w:rPr>
                <w:rFonts w:eastAsia="仿宋"/>
                <w:color w:val="auto"/>
                <w:sz w:val="21"/>
                <w:highlight w:val="none"/>
              </w:rPr>
            </w:pPr>
            <w:r>
              <w:rPr>
                <w:rFonts w:eastAsia="仿宋"/>
                <w:color w:val="auto"/>
                <w:sz w:val="21"/>
                <w:highlight w:val="none"/>
              </w:rPr>
              <w:t>部位</w:t>
            </w:r>
          </w:p>
        </w:tc>
        <w:tc>
          <w:tcPr>
            <w:tcW w:w="453" w:type="pct"/>
            <w:vAlign w:val="center"/>
          </w:tcPr>
          <w:p>
            <w:pPr>
              <w:pStyle w:val="52"/>
              <w:snapToGrid w:val="0"/>
              <w:rPr>
                <w:rFonts w:eastAsia="仿宋"/>
                <w:color w:val="auto"/>
                <w:sz w:val="21"/>
                <w:highlight w:val="none"/>
              </w:rPr>
            </w:pPr>
            <w:r>
              <w:rPr>
                <w:rFonts w:eastAsia="仿宋"/>
                <w:color w:val="auto"/>
                <w:sz w:val="21"/>
                <w:highlight w:val="none"/>
              </w:rPr>
              <w:t>三</w:t>
            </w:r>
          </w:p>
        </w:tc>
        <w:tc>
          <w:tcPr>
            <w:tcW w:w="307" w:type="pct"/>
            <w:gridSpan w:val="2"/>
            <w:vAlign w:val="center"/>
          </w:tcPr>
          <w:p>
            <w:pPr>
              <w:pStyle w:val="52"/>
              <w:snapToGrid w:val="0"/>
              <w:rPr>
                <w:rFonts w:eastAsia="仿宋"/>
                <w:color w:val="auto"/>
                <w:sz w:val="21"/>
                <w:highlight w:val="none"/>
              </w:rPr>
            </w:pPr>
            <w:r>
              <w:rPr>
                <w:rFonts w:eastAsia="仿宋"/>
                <w:color w:val="auto"/>
                <w:sz w:val="21"/>
                <w:highlight w:val="none"/>
              </w:rPr>
              <w:t>二</w:t>
            </w:r>
          </w:p>
        </w:tc>
        <w:tc>
          <w:tcPr>
            <w:tcW w:w="420" w:type="pct"/>
            <w:gridSpan w:val="2"/>
            <w:vAlign w:val="center"/>
          </w:tcPr>
          <w:p>
            <w:pPr>
              <w:pStyle w:val="52"/>
              <w:snapToGrid w:val="0"/>
              <w:rPr>
                <w:rFonts w:eastAsia="仿宋"/>
                <w:color w:val="auto"/>
                <w:sz w:val="21"/>
                <w:highlight w:val="none"/>
              </w:rPr>
            </w:pPr>
            <w:r>
              <w:rPr>
                <w:rFonts w:eastAsia="仿宋"/>
                <w:color w:val="auto"/>
                <w:sz w:val="21"/>
                <w:highlight w:val="none"/>
              </w:rPr>
              <w:t>一</w:t>
            </w:r>
          </w:p>
        </w:tc>
        <w:tc>
          <w:tcPr>
            <w:tcW w:w="333" w:type="pct"/>
            <w:vAlign w:val="center"/>
          </w:tcPr>
          <w:p>
            <w:pPr>
              <w:pStyle w:val="52"/>
              <w:snapToGrid w:val="0"/>
              <w:rPr>
                <w:rFonts w:eastAsia="仿宋"/>
                <w:color w:val="auto"/>
                <w:sz w:val="21"/>
                <w:highlight w:val="none"/>
              </w:rPr>
            </w:pPr>
            <w:r>
              <w:rPr>
                <w:rFonts w:eastAsia="仿宋"/>
                <w:color w:val="auto"/>
                <w:sz w:val="21"/>
                <w:highlight w:val="none"/>
              </w:rPr>
              <w:t>二</w:t>
            </w:r>
          </w:p>
        </w:tc>
        <w:tc>
          <w:tcPr>
            <w:tcW w:w="354" w:type="pct"/>
            <w:gridSpan w:val="3"/>
            <w:vAlign w:val="center"/>
          </w:tcPr>
          <w:p>
            <w:pPr>
              <w:pStyle w:val="52"/>
              <w:snapToGrid w:val="0"/>
              <w:rPr>
                <w:rFonts w:eastAsia="仿宋"/>
                <w:color w:val="auto"/>
                <w:sz w:val="21"/>
                <w:highlight w:val="none"/>
              </w:rPr>
            </w:pPr>
            <w:r>
              <w:rPr>
                <w:rFonts w:eastAsia="仿宋"/>
                <w:color w:val="auto"/>
                <w:sz w:val="21"/>
                <w:highlight w:val="none"/>
              </w:rPr>
              <w:t>一</w:t>
            </w:r>
          </w:p>
        </w:tc>
        <w:tc>
          <w:tcPr>
            <w:tcW w:w="409" w:type="pct"/>
            <w:vMerge w:val="continue"/>
            <w:vAlign w:val="center"/>
          </w:tcPr>
          <w:p>
            <w:pPr>
              <w:pStyle w:val="52"/>
              <w:snapToGrid w:val="0"/>
              <w:rPr>
                <w:rFonts w:eastAsia="仿宋"/>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1" w:type="pct"/>
            <w:gridSpan w:val="2"/>
            <w:vMerge w:val="continue"/>
            <w:vAlign w:val="center"/>
          </w:tcPr>
          <w:p>
            <w:pPr>
              <w:pStyle w:val="52"/>
              <w:rPr>
                <w:rFonts w:eastAsia="仿宋"/>
                <w:color w:val="auto"/>
                <w:sz w:val="21"/>
                <w:highlight w:val="none"/>
              </w:rPr>
            </w:pPr>
          </w:p>
        </w:tc>
        <w:tc>
          <w:tcPr>
            <w:tcW w:w="663" w:type="pct"/>
            <w:vMerge w:val="continue"/>
            <w:vAlign w:val="center"/>
          </w:tcPr>
          <w:p>
            <w:pPr>
              <w:pStyle w:val="52"/>
              <w:snapToGrid w:val="0"/>
              <w:rPr>
                <w:rFonts w:eastAsia="仿宋"/>
                <w:color w:val="auto"/>
                <w:sz w:val="21"/>
                <w:highlight w:val="none"/>
              </w:rPr>
            </w:pPr>
          </w:p>
        </w:tc>
        <w:tc>
          <w:tcPr>
            <w:tcW w:w="445" w:type="pct"/>
            <w:vMerge w:val="continue"/>
            <w:vAlign w:val="center"/>
          </w:tcPr>
          <w:p>
            <w:pPr>
              <w:pStyle w:val="52"/>
              <w:snapToGrid w:val="0"/>
              <w:rPr>
                <w:rFonts w:eastAsia="仿宋"/>
                <w:color w:val="auto"/>
                <w:sz w:val="21"/>
                <w:highlight w:val="none"/>
              </w:rPr>
            </w:pPr>
          </w:p>
        </w:tc>
        <w:tc>
          <w:tcPr>
            <w:tcW w:w="526" w:type="pct"/>
            <w:vAlign w:val="center"/>
          </w:tcPr>
          <w:p>
            <w:pPr>
              <w:pStyle w:val="52"/>
              <w:snapToGrid w:val="0"/>
              <w:rPr>
                <w:rFonts w:eastAsia="仿宋"/>
                <w:color w:val="auto"/>
                <w:sz w:val="21"/>
                <w:highlight w:val="none"/>
              </w:rPr>
            </w:pPr>
            <w:r>
              <w:rPr>
                <w:rFonts w:eastAsia="仿宋"/>
                <w:color w:val="auto"/>
                <w:sz w:val="21"/>
                <w:highlight w:val="none"/>
              </w:rPr>
              <w:t>一般</w:t>
            </w:r>
          </w:p>
          <w:p>
            <w:pPr>
              <w:pStyle w:val="52"/>
              <w:snapToGrid w:val="0"/>
              <w:rPr>
                <w:rFonts w:eastAsia="仿宋"/>
                <w:color w:val="auto"/>
                <w:sz w:val="21"/>
                <w:highlight w:val="none"/>
              </w:rPr>
            </w:pPr>
            <w:r>
              <w:rPr>
                <w:rFonts w:eastAsia="仿宋"/>
                <w:color w:val="auto"/>
                <w:sz w:val="21"/>
                <w:highlight w:val="none"/>
              </w:rPr>
              <w:t>部位</w:t>
            </w:r>
          </w:p>
        </w:tc>
        <w:tc>
          <w:tcPr>
            <w:tcW w:w="453" w:type="pct"/>
            <w:vAlign w:val="center"/>
          </w:tcPr>
          <w:p>
            <w:pPr>
              <w:pStyle w:val="52"/>
              <w:snapToGrid w:val="0"/>
              <w:rPr>
                <w:rFonts w:eastAsia="仿宋"/>
                <w:color w:val="auto"/>
                <w:sz w:val="21"/>
                <w:highlight w:val="none"/>
              </w:rPr>
            </w:pPr>
            <w:r>
              <w:rPr>
                <w:rFonts w:eastAsia="仿宋"/>
                <w:color w:val="auto"/>
                <w:sz w:val="21"/>
                <w:highlight w:val="none"/>
              </w:rPr>
              <w:t>四</w:t>
            </w:r>
          </w:p>
        </w:tc>
        <w:tc>
          <w:tcPr>
            <w:tcW w:w="307" w:type="pct"/>
            <w:gridSpan w:val="2"/>
            <w:vAlign w:val="center"/>
          </w:tcPr>
          <w:p>
            <w:pPr>
              <w:pStyle w:val="52"/>
              <w:snapToGrid w:val="0"/>
              <w:rPr>
                <w:rFonts w:eastAsia="仿宋"/>
                <w:color w:val="auto"/>
                <w:sz w:val="21"/>
                <w:highlight w:val="none"/>
              </w:rPr>
            </w:pPr>
            <w:r>
              <w:rPr>
                <w:rFonts w:eastAsia="仿宋"/>
                <w:color w:val="auto"/>
                <w:sz w:val="21"/>
                <w:highlight w:val="none"/>
              </w:rPr>
              <w:t>三</w:t>
            </w:r>
          </w:p>
        </w:tc>
        <w:tc>
          <w:tcPr>
            <w:tcW w:w="420" w:type="pct"/>
            <w:gridSpan w:val="2"/>
            <w:vAlign w:val="center"/>
          </w:tcPr>
          <w:p>
            <w:pPr>
              <w:pStyle w:val="52"/>
              <w:snapToGrid w:val="0"/>
              <w:rPr>
                <w:rFonts w:eastAsia="仿宋"/>
                <w:color w:val="auto"/>
                <w:sz w:val="21"/>
                <w:highlight w:val="none"/>
              </w:rPr>
            </w:pPr>
            <w:r>
              <w:rPr>
                <w:rFonts w:eastAsia="仿宋"/>
                <w:color w:val="auto"/>
                <w:sz w:val="21"/>
                <w:highlight w:val="none"/>
              </w:rPr>
              <w:t>二</w:t>
            </w:r>
          </w:p>
        </w:tc>
        <w:tc>
          <w:tcPr>
            <w:tcW w:w="333" w:type="pct"/>
            <w:vAlign w:val="center"/>
          </w:tcPr>
          <w:p>
            <w:pPr>
              <w:pStyle w:val="52"/>
              <w:snapToGrid w:val="0"/>
              <w:rPr>
                <w:rFonts w:eastAsia="仿宋"/>
                <w:color w:val="auto"/>
                <w:sz w:val="21"/>
                <w:highlight w:val="none"/>
              </w:rPr>
            </w:pPr>
            <w:r>
              <w:rPr>
                <w:rFonts w:eastAsia="仿宋"/>
                <w:color w:val="auto"/>
                <w:sz w:val="21"/>
                <w:highlight w:val="none"/>
              </w:rPr>
              <w:t>三</w:t>
            </w:r>
          </w:p>
        </w:tc>
        <w:tc>
          <w:tcPr>
            <w:tcW w:w="354" w:type="pct"/>
            <w:gridSpan w:val="3"/>
            <w:vAlign w:val="center"/>
          </w:tcPr>
          <w:p>
            <w:pPr>
              <w:pStyle w:val="52"/>
              <w:snapToGrid w:val="0"/>
              <w:rPr>
                <w:rFonts w:eastAsia="仿宋"/>
                <w:color w:val="auto"/>
                <w:sz w:val="21"/>
                <w:highlight w:val="none"/>
              </w:rPr>
            </w:pPr>
            <w:r>
              <w:rPr>
                <w:rFonts w:eastAsia="仿宋"/>
                <w:color w:val="auto"/>
                <w:sz w:val="21"/>
                <w:highlight w:val="none"/>
              </w:rPr>
              <w:t>二</w:t>
            </w:r>
          </w:p>
        </w:tc>
        <w:tc>
          <w:tcPr>
            <w:tcW w:w="409" w:type="pct"/>
            <w:vMerge w:val="continue"/>
            <w:vAlign w:val="center"/>
          </w:tcPr>
          <w:p>
            <w:pPr>
              <w:pStyle w:val="52"/>
              <w:snapToGrid w:val="0"/>
              <w:rPr>
                <w:rFonts w:eastAsia="仿宋"/>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1" w:type="pct"/>
            <w:gridSpan w:val="2"/>
            <w:vMerge w:val="restart"/>
            <w:vAlign w:val="center"/>
          </w:tcPr>
          <w:p>
            <w:pPr>
              <w:pStyle w:val="52"/>
              <w:snapToGrid w:val="0"/>
              <w:rPr>
                <w:rFonts w:eastAsia="仿宋"/>
                <w:color w:val="auto"/>
                <w:sz w:val="21"/>
                <w:highlight w:val="none"/>
              </w:rPr>
            </w:pPr>
            <w:r>
              <w:rPr>
                <w:rFonts w:eastAsia="仿宋"/>
                <w:color w:val="auto"/>
                <w:sz w:val="21"/>
                <w:highlight w:val="none"/>
              </w:rPr>
              <w:t>模块化叠合</w:t>
            </w:r>
          </w:p>
          <w:p>
            <w:pPr>
              <w:pStyle w:val="52"/>
              <w:snapToGrid w:val="0"/>
              <w:rPr>
                <w:rFonts w:eastAsia="仿宋"/>
                <w:color w:val="auto"/>
                <w:sz w:val="21"/>
                <w:highlight w:val="none"/>
              </w:rPr>
            </w:pPr>
            <w:r>
              <w:rPr>
                <w:rFonts w:eastAsia="仿宋"/>
                <w:color w:val="auto"/>
                <w:sz w:val="21"/>
                <w:highlight w:val="none"/>
              </w:rPr>
              <w:t>剪力墙结构</w:t>
            </w:r>
          </w:p>
        </w:tc>
        <w:tc>
          <w:tcPr>
            <w:tcW w:w="663" w:type="pct"/>
            <w:vMerge w:val="restart"/>
            <w:vAlign w:val="center"/>
          </w:tcPr>
          <w:p>
            <w:pPr>
              <w:pStyle w:val="52"/>
              <w:snapToGrid w:val="0"/>
              <w:rPr>
                <w:rFonts w:eastAsia="仿宋"/>
                <w:color w:val="auto"/>
                <w:sz w:val="21"/>
                <w:highlight w:val="none"/>
              </w:rPr>
            </w:pPr>
            <w:r>
              <w:rPr>
                <w:rFonts w:eastAsia="仿宋"/>
                <w:color w:val="auto"/>
                <w:sz w:val="21"/>
                <w:highlight w:val="none"/>
              </w:rPr>
              <w:t>全部落地</w:t>
            </w:r>
          </w:p>
          <w:p>
            <w:pPr>
              <w:pStyle w:val="52"/>
              <w:snapToGrid w:val="0"/>
              <w:rPr>
                <w:rFonts w:eastAsia="仿宋"/>
                <w:color w:val="auto"/>
                <w:sz w:val="21"/>
                <w:highlight w:val="none"/>
              </w:rPr>
            </w:pPr>
            <w:r>
              <w:rPr>
                <w:rFonts w:eastAsia="仿宋"/>
                <w:color w:val="auto"/>
                <w:sz w:val="21"/>
                <w:highlight w:val="none"/>
              </w:rPr>
              <w:t>剪力墙</w:t>
            </w:r>
          </w:p>
        </w:tc>
        <w:tc>
          <w:tcPr>
            <w:tcW w:w="971" w:type="pct"/>
            <w:gridSpan w:val="2"/>
            <w:vAlign w:val="center"/>
          </w:tcPr>
          <w:p>
            <w:pPr>
              <w:pStyle w:val="52"/>
              <w:snapToGrid w:val="0"/>
              <w:rPr>
                <w:rFonts w:eastAsia="仿宋"/>
                <w:color w:val="auto"/>
                <w:sz w:val="21"/>
                <w:highlight w:val="none"/>
              </w:rPr>
            </w:pPr>
            <w:r>
              <w:rPr>
                <w:rFonts w:eastAsia="仿宋"/>
                <w:color w:val="auto"/>
                <w:sz w:val="21"/>
                <w:highlight w:val="none"/>
              </w:rPr>
              <w:t>高度</w:t>
            </w:r>
          </w:p>
        </w:tc>
        <w:tc>
          <w:tcPr>
            <w:tcW w:w="453" w:type="pct"/>
            <w:vAlign w:val="center"/>
          </w:tcPr>
          <w:p>
            <w:pPr>
              <w:pStyle w:val="52"/>
              <w:adjustRightInd/>
              <w:rPr>
                <w:rFonts w:eastAsia="仿宋"/>
                <w:color w:val="auto"/>
                <w:sz w:val="21"/>
                <w:highlight w:val="none"/>
              </w:rPr>
            </w:pPr>
            <w:r>
              <w:rPr>
                <w:rFonts w:eastAsia="仿宋"/>
                <w:color w:val="auto"/>
                <w:sz w:val="21"/>
                <w:highlight w:val="none"/>
              </w:rPr>
              <w:t>≤24</w:t>
            </w:r>
          </w:p>
        </w:tc>
        <w:tc>
          <w:tcPr>
            <w:tcW w:w="307" w:type="pct"/>
            <w:gridSpan w:val="2"/>
            <w:vAlign w:val="center"/>
          </w:tcPr>
          <w:p>
            <w:pPr>
              <w:pStyle w:val="52"/>
              <w:adjustRightInd/>
              <w:rPr>
                <w:rFonts w:eastAsia="仿宋"/>
                <w:color w:val="auto"/>
                <w:sz w:val="21"/>
                <w:highlight w:val="none"/>
              </w:rPr>
            </w:pPr>
            <w:r>
              <w:rPr>
                <w:rFonts w:eastAsia="仿宋"/>
                <w:color w:val="auto"/>
                <w:sz w:val="21"/>
                <w:highlight w:val="none"/>
              </w:rPr>
              <w:t>25~70</w:t>
            </w:r>
          </w:p>
        </w:tc>
        <w:tc>
          <w:tcPr>
            <w:tcW w:w="420" w:type="pct"/>
            <w:gridSpan w:val="2"/>
            <w:vAlign w:val="center"/>
          </w:tcPr>
          <w:p>
            <w:pPr>
              <w:pStyle w:val="52"/>
              <w:adjustRightInd/>
              <w:rPr>
                <w:rFonts w:eastAsia="仿宋"/>
                <w:color w:val="auto"/>
                <w:sz w:val="21"/>
                <w:highlight w:val="none"/>
              </w:rPr>
            </w:pPr>
            <w:r>
              <w:rPr>
                <w:rFonts w:eastAsia="仿宋"/>
                <w:color w:val="auto"/>
                <w:sz w:val="21"/>
                <w:highlight w:val="none"/>
              </w:rPr>
              <w:t>＞70</w:t>
            </w:r>
          </w:p>
        </w:tc>
        <w:tc>
          <w:tcPr>
            <w:tcW w:w="333" w:type="pct"/>
            <w:vAlign w:val="center"/>
          </w:tcPr>
          <w:p>
            <w:pPr>
              <w:pStyle w:val="52"/>
              <w:rPr>
                <w:rFonts w:eastAsia="仿宋"/>
                <w:color w:val="auto"/>
                <w:sz w:val="21"/>
                <w:highlight w:val="none"/>
              </w:rPr>
            </w:pPr>
            <w:r>
              <w:rPr>
                <w:rFonts w:eastAsia="仿宋"/>
                <w:color w:val="auto"/>
                <w:sz w:val="21"/>
                <w:highlight w:val="none"/>
              </w:rPr>
              <w:t>≤24</w:t>
            </w:r>
          </w:p>
        </w:tc>
        <w:tc>
          <w:tcPr>
            <w:tcW w:w="354" w:type="pct"/>
            <w:gridSpan w:val="3"/>
            <w:vAlign w:val="center"/>
          </w:tcPr>
          <w:p>
            <w:pPr>
              <w:pStyle w:val="52"/>
              <w:rPr>
                <w:rFonts w:eastAsia="仿宋"/>
                <w:color w:val="auto"/>
                <w:sz w:val="21"/>
                <w:highlight w:val="none"/>
              </w:rPr>
            </w:pPr>
            <w:r>
              <w:rPr>
                <w:rFonts w:eastAsia="仿宋"/>
                <w:color w:val="auto"/>
                <w:sz w:val="21"/>
                <w:highlight w:val="none"/>
              </w:rPr>
              <w:t>25~60</w:t>
            </w:r>
          </w:p>
        </w:tc>
        <w:tc>
          <w:tcPr>
            <w:tcW w:w="409" w:type="pct"/>
            <w:vMerge w:val="restart"/>
            <w:vAlign w:val="center"/>
          </w:tcPr>
          <w:p>
            <w:pPr>
              <w:pStyle w:val="52"/>
              <w:snapToGrid w:val="0"/>
              <w:rPr>
                <w:rFonts w:eastAsia="仿宋"/>
                <w:color w:val="auto"/>
                <w:sz w:val="21"/>
                <w:highlight w:val="none"/>
              </w:rPr>
            </w:pPr>
            <w:r>
              <w:rPr>
                <w:rFonts w:eastAsia="仿宋"/>
                <w:color w:val="auto"/>
                <w:sz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1" w:type="pct"/>
            <w:gridSpan w:val="2"/>
            <w:vMerge w:val="continue"/>
            <w:vAlign w:val="center"/>
          </w:tcPr>
          <w:p>
            <w:pPr>
              <w:pStyle w:val="52"/>
              <w:snapToGrid w:val="0"/>
              <w:rPr>
                <w:rFonts w:eastAsia="仿宋"/>
                <w:color w:val="auto"/>
                <w:sz w:val="21"/>
                <w:highlight w:val="none"/>
              </w:rPr>
            </w:pPr>
          </w:p>
        </w:tc>
        <w:tc>
          <w:tcPr>
            <w:tcW w:w="663" w:type="pct"/>
            <w:vMerge w:val="continue"/>
            <w:vAlign w:val="center"/>
          </w:tcPr>
          <w:p>
            <w:pPr>
              <w:pStyle w:val="52"/>
              <w:snapToGrid w:val="0"/>
              <w:rPr>
                <w:rFonts w:eastAsia="仿宋"/>
                <w:color w:val="auto"/>
                <w:sz w:val="21"/>
                <w:highlight w:val="none"/>
              </w:rPr>
            </w:pPr>
          </w:p>
        </w:tc>
        <w:tc>
          <w:tcPr>
            <w:tcW w:w="971" w:type="pct"/>
            <w:gridSpan w:val="2"/>
            <w:vAlign w:val="center"/>
          </w:tcPr>
          <w:p>
            <w:pPr>
              <w:pStyle w:val="52"/>
              <w:snapToGrid w:val="0"/>
              <w:rPr>
                <w:rFonts w:eastAsia="仿宋"/>
                <w:color w:val="auto"/>
                <w:sz w:val="21"/>
                <w:highlight w:val="none"/>
              </w:rPr>
            </w:pPr>
            <w:r>
              <w:rPr>
                <w:rFonts w:eastAsia="仿宋"/>
                <w:color w:val="auto"/>
                <w:sz w:val="21"/>
                <w:highlight w:val="none"/>
              </w:rPr>
              <w:t>剪力墙</w:t>
            </w:r>
          </w:p>
        </w:tc>
        <w:tc>
          <w:tcPr>
            <w:tcW w:w="453" w:type="pct"/>
            <w:vAlign w:val="center"/>
          </w:tcPr>
          <w:p>
            <w:pPr>
              <w:pStyle w:val="52"/>
              <w:adjustRightInd/>
              <w:rPr>
                <w:rFonts w:eastAsia="仿宋"/>
                <w:color w:val="auto"/>
                <w:sz w:val="21"/>
                <w:highlight w:val="none"/>
              </w:rPr>
            </w:pPr>
            <w:r>
              <w:rPr>
                <w:rFonts w:eastAsia="仿宋"/>
                <w:color w:val="auto"/>
                <w:sz w:val="21"/>
                <w:highlight w:val="none"/>
              </w:rPr>
              <w:t>四</w:t>
            </w:r>
          </w:p>
        </w:tc>
        <w:tc>
          <w:tcPr>
            <w:tcW w:w="307" w:type="pct"/>
            <w:gridSpan w:val="2"/>
            <w:vAlign w:val="center"/>
          </w:tcPr>
          <w:p>
            <w:pPr>
              <w:pStyle w:val="52"/>
              <w:adjustRightInd/>
              <w:rPr>
                <w:rFonts w:eastAsia="仿宋"/>
                <w:color w:val="auto"/>
                <w:sz w:val="21"/>
                <w:highlight w:val="none"/>
              </w:rPr>
            </w:pPr>
            <w:r>
              <w:rPr>
                <w:rFonts w:eastAsia="仿宋"/>
                <w:color w:val="auto"/>
                <w:sz w:val="21"/>
                <w:highlight w:val="none"/>
              </w:rPr>
              <w:t>三</w:t>
            </w:r>
          </w:p>
        </w:tc>
        <w:tc>
          <w:tcPr>
            <w:tcW w:w="420" w:type="pct"/>
            <w:gridSpan w:val="2"/>
            <w:vAlign w:val="center"/>
          </w:tcPr>
          <w:p>
            <w:pPr>
              <w:pStyle w:val="52"/>
              <w:adjustRightInd/>
              <w:rPr>
                <w:rFonts w:eastAsia="仿宋"/>
                <w:color w:val="auto"/>
                <w:sz w:val="21"/>
                <w:highlight w:val="none"/>
              </w:rPr>
            </w:pPr>
            <w:r>
              <w:rPr>
                <w:rFonts w:eastAsia="仿宋"/>
                <w:color w:val="auto"/>
                <w:sz w:val="21"/>
                <w:highlight w:val="none"/>
              </w:rPr>
              <w:t>二</w:t>
            </w:r>
          </w:p>
        </w:tc>
        <w:tc>
          <w:tcPr>
            <w:tcW w:w="333" w:type="pct"/>
            <w:vAlign w:val="center"/>
          </w:tcPr>
          <w:p>
            <w:pPr>
              <w:pStyle w:val="52"/>
              <w:rPr>
                <w:rFonts w:eastAsia="仿宋"/>
                <w:color w:val="auto"/>
                <w:sz w:val="21"/>
                <w:highlight w:val="none"/>
              </w:rPr>
            </w:pPr>
            <w:r>
              <w:rPr>
                <w:rFonts w:eastAsia="仿宋"/>
                <w:color w:val="auto"/>
                <w:sz w:val="21"/>
                <w:highlight w:val="none"/>
              </w:rPr>
              <w:t>三</w:t>
            </w:r>
          </w:p>
        </w:tc>
        <w:tc>
          <w:tcPr>
            <w:tcW w:w="354" w:type="pct"/>
            <w:gridSpan w:val="3"/>
            <w:vAlign w:val="center"/>
          </w:tcPr>
          <w:p>
            <w:pPr>
              <w:pStyle w:val="52"/>
              <w:rPr>
                <w:rFonts w:eastAsia="仿宋"/>
                <w:color w:val="auto"/>
                <w:sz w:val="21"/>
                <w:highlight w:val="none"/>
              </w:rPr>
            </w:pPr>
            <w:r>
              <w:rPr>
                <w:rFonts w:eastAsia="仿宋"/>
                <w:color w:val="auto"/>
                <w:sz w:val="21"/>
                <w:highlight w:val="none"/>
              </w:rPr>
              <w:t>二</w:t>
            </w:r>
          </w:p>
        </w:tc>
        <w:tc>
          <w:tcPr>
            <w:tcW w:w="409" w:type="pct"/>
            <w:vMerge w:val="continue"/>
            <w:vAlign w:val="center"/>
          </w:tcPr>
          <w:p>
            <w:pPr>
              <w:pStyle w:val="52"/>
              <w:snapToGrid w:val="0"/>
              <w:rPr>
                <w:rFonts w:eastAsia="仿宋"/>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1" w:type="pct"/>
            <w:gridSpan w:val="2"/>
            <w:vMerge w:val="continue"/>
            <w:vAlign w:val="center"/>
          </w:tcPr>
          <w:p>
            <w:pPr>
              <w:pStyle w:val="52"/>
              <w:snapToGrid w:val="0"/>
              <w:rPr>
                <w:rFonts w:eastAsia="仿宋"/>
                <w:color w:val="auto"/>
                <w:sz w:val="21"/>
                <w:highlight w:val="none"/>
              </w:rPr>
            </w:pPr>
          </w:p>
        </w:tc>
        <w:tc>
          <w:tcPr>
            <w:tcW w:w="663" w:type="pct"/>
            <w:vMerge w:val="restart"/>
            <w:vAlign w:val="center"/>
          </w:tcPr>
          <w:p>
            <w:pPr>
              <w:pStyle w:val="52"/>
              <w:snapToGrid w:val="0"/>
              <w:rPr>
                <w:rFonts w:eastAsia="仿宋"/>
                <w:color w:val="auto"/>
                <w:sz w:val="21"/>
                <w:highlight w:val="none"/>
              </w:rPr>
            </w:pPr>
            <w:r>
              <w:rPr>
                <w:rFonts w:eastAsia="仿宋"/>
                <w:color w:val="auto"/>
                <w:sz w:val="21"/>
                <w:highlight w:val="none"/>
              </w:rPr>
              <w:t>部分框支</w:t>
            </w:r>
          </w:p>
          <w:p>
            <w:pPr>
              <w:pStyle w:val="52"/>
              <w:snapToGrid w:val="0"/>
              <w:rPr>
                <w:rFonts w:eastAsia="仿宋"/>
                <w:color w:val="auto"/>
                <w:sz w:val="21"/>
                <w:highlight w:val="none"/>
              </w:rPr>
            </w:pPr>
            <w:r>
              <w:rPr>
                <w:rFonts w:eastAsia="仿宋"/>
                <w:color w:val="auto"/>
                <w:sz w:val="21"/>
                <w:highlight w:val="none"/>
              </w:rPr>
              <w:t>剪力墙</w:t>
            </w:r>
          </w:p>
        </w:tc>
        <w:tc>
          <w:tcPr>
            <w:tcW w:w="971" w:type="pct"/>
            <w:gridSpan w:val="2"/>
            <w:vAlign w:val="center"/>
          </w:tcPr>
          <w:p>
            <w:pPr>
              <w:pStyle w:val="52"/>
              <w:snapToGrid w:val="0"/>
              <w:rPr>
                <w:rFonts w:eastAsia="仿宋"/>
                <w:color w:val="auto"/>
                <w:sz w:val="21"/>
                <w:highlight w:val="none"/>
              </w:rPr>
            </w:pPr>
            <w:r>
              <w:rPr>
                <w:rFonts w:eastAsia="仿宋"/>
                <w:color w:val="auto"/>
                <w:sz w:val="21"/>
                <w:highlight w:val="none"/>
              </w:rPr>
              <w:t>高度</w:t>
            </w:r>
          </w:p>
        </w:tc>
        <w:tc>
          <w:tcPr>
            <w:tcW w:w="453" w:type="pct"/>
            <w:vAlign w:val="center"/>
          </w:tcPr>
          <w:p>
            <w:pPr>
              <w:pStyle w:val="52"/>
              <w:snapToGrid w:val="0"/>
              <w:rPr>
                <w:rFonts w:eastAsia="仿宋"/>
                <w:color w:val="auto"/>
                <w:sz w:val="21"/>
                <w:highlight w:val="none"/>
              </w:rPr>
            </w:pPr>
            <w:r>
              <w:rPr>
                <w:rFonts w:eastAsia="仿宋"/>
                <w:color w:val="auto"/>
                <w:sz w:val="21"/>
                <w:highlight w:val="none"/>
              </w:rPr>
              <w:t>≤24</w:t>
            </w:r>
          </w:p>
        </w:tc>
        <w:tc>
          <w:tcPr>
            <w:tcW w:w="307" w:type="pct"/>
            <w:gridSpan w:val="2"/>
            <w:vAlign w:val="center"/>
          </w:tcPr>
          <w:p>
            <w:pPr>
              <w:pStyle w:val="52"/>
              <w:snapToGrid w:val="0"/>
              <w:rPr>
                <w:rFonts w:eastAsia="仿宋"/>
                <w:color w:val="auto"/>
                <w:sz w:val="21"/>
                <w:highlight w:val="none"/>
              </w:rPr>
            </w:pPr>
            <w:r>
              <w:rPr>
                <w:rFonts w:eastAsia="仿宋"/>
                <w:color w:val="auto"/>
                <w:sz w:val="21"/>
                <w:highlight w:val="none"/>
              </w:rPr>
              <w:t>25~60</w:t>
            </w:r>
          </w:p>
        </w:tc>
        <w:tc>
          <w:tcPr>
            <w:tcW w:w="420" w:type="pct"/>
            <w:gridSpan w:val="2"/>
            <w:vAlign w:val="center"/>
          </w:tcPr>
          <w:p>
            <w:pPr>
              <w:pStyle w:val="52"/>
              <w:snapToGrid w:val="0"/>
              <w:rPr>
                <w:rFonts w:eastAsia="仿宋"/>
                <w:color w:val="auto"/>
                <w:sz w:val="21"/>
                <w:highlight w:val="none"/>
              </w:rPr>
            </w:pPr>
          </w:p>
        </w:tc>
        <w:tc>
          <w:tcPr>
            <w:tcW w:w="333" w:type="pct"/>
            <w:vAlign w:val="center"/>
          </w:tcPr>
          <w:p>
            <w:pPr>
              <w:pStyle w:val="52"/>
              <w:snapToGrid w:val="0"/>
              <w:rPr>
                <w:rFonts w:eastAsia="仿宋"/>
                <w:color w:val="auto"/>
                <w:sz w:val="21"/>
                <w:highlight w:val="none"/>
              </w:rPr>
            </w:pPr>
            <w:r>
              <w:rPr>
                <w:rFonts w:eastAsia="仿宋"/>
                <w:color w:val="auto"/>
                <w:sz w:val="21"/>
                <w:highlight w:val="none"/>
              </w:rPr>
              <w:t>≤24</w:t>
            </w:r>
          </w:p>
        </w:tc>
        <w:tc>
          <w:tcPr>
            <w:tcW w:w="354" w:type="pct"/>
            <w:gridSpan w:val="3"/>
            <w:vAlign w:val="center"/>
          </w:tcPr>
          <w:p>
            <w:pPr>
              <w:pStyle w:val="52"/>
              <w:snapToGrid w:val="0"/>
              <w:rPr>
                <w:rFonts w:eastAsia="仿宋"/>
                <w:color w:val="auto"/>
                <w:sz w:val="21"/>
                <w:highlight w:val="none"/>
              </w:rPr>
            </w:pPr>
            <w:r>
              <w:rPr>
                <w:rFonts w:eastAsia="仿宋"/>
                <w:color w:val="auto"/>
                <w:sz w:val="21"/>
                <w:highlight w:val="none"/>
              </w:rPr>
              <w:t>25~50</w:t>
            </w:r>
          </w:p>
        </w:tc>
        <w:tc>
          <w:tcPr>
            <w:tcW w:w="409" w:type="pct"/>
            <w:vMerge w:val="continue"/>
            <w:vAlign w:val="center"/>
          </w:tcPr>
          <w:p>
            <w:pPr>
              <w:pStyle w:val="52"/>
              <w:snapToGrid w:val="0"/>
              <w:rPr>
                <w:rFonts w:eastAsia="仿宋"/>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1" w:type="pct"/>
            <w:gridSpan w:val="2"/>
            <w:vMerge w:val="continue"/>
            <w:vAlign w:val="center"/>
          </w:tcPr>
          <w:p>
            <w:pPr>
              <w:pStyle w:val="52"/>
              <w:snapToGrid w:val="0"/>
              <w:rPr>
                <w:rFonts w:eastAsia="仿宋"/>
                <w:color w:val="auto"/>
                <w:sz w:val="21"/>
                <w:highlight w:val="none"/>
              </w:rPr>
            </w:pPr>
          </w:p>
        </w:tc>
        <w:tc>
          <w:tcPr>
            <w:tcW w:w="663" w:type="pct"/>
            <w:vMerge w:val="continue"/>
            <w:vAlign w:val="center"/>
          </w:tcPr>
          <w:p>
            <w:pPr>
              <w:pStyle w:val="52"/>
              <w:snapToGrid w:val="0"/>
              <w:rPr>
                <w:rFonts w:eastAsia="仿宋"/>
                <w:color w:val="auto"/>
                <w:sz w:val="21"/>
                <w:highlight w:val="none"/>
              </w:rPr>
            </w:pPr>
          </w:p>
        </w:tc>
        <w:tc>
          <w:tcPr>
            <w:tcW w:w="971" w:type="pct"/>
            <w:gridSpan w:val="2"/>
            <w:vAlign w:val="center"/>
          </w:tcPr>
          <w:p>
            <w:pPr>
              <w:pStyle w:val="52"/>
              <w:snapToGrid w:val="0"/>
              <w:rPr>
                <w:rFonts w:eastAsia="仿宋"/>
                <w:color w:val="auto"/>
                <w:sz w:val="21"/>
                <w:highlight w:val="none"/>
              </w:rPr>
            </w:pPr>
            <w:r>
              <w:rPr>
                <w:rFonts w:eastAsia="仿宋"/>
                <w:color w:val="auto"/>
                <w:sz w:val="21"/>
                <w:highlight w:val="none"/>
              </w:rPr>
              <w:t>框支框架</w:t>
            </w:r>
          </w:p>
        </w:tc>
        <w:tc>
          <w:tcPr>
            <w:tcW w:w="453" w:type="pct"/>
            <w:vAlign w:val="center"/>
          </w:tcPr>
          <w:p>
            <w:pPr>
              <w:pStyle w:val="52"/>
              <w:snapToGrid w:val="0"/>
              <w:rPr>
                <w:rFonts w:eastAsia="仿宋"/>
                <w:color w:val="auto"/>
                <w:sz w:val="21"/>
                <w:highlight w:val="none"/>
              </w:rPr>
            </w:pPr>
            <w:r>
              <w:rPr>
                <w:rFonts w:eastAsia="仿宋"/>
                <w:color w:val="auto"/>
                <w:sz w:val="21"/>
                <w:highlight w:val="none"/>
              </w:rPr>
              <w:t>二</w:t>
            </w:r>
          </w:p>
        </w:tc>
        <w:tc>
          <w:tcPr>
            <w:tcW w:w="307" w:type="pct"/>
            <w:gridSpan w:val="2"/>
            <w:vAlign w:val="center"/>
          </w:tcPr>
          <w:p>
            <w:pPr>
              <w:pStyle w:val="52"/>
              <w:snapToGrid w:val="0"/>
              <w:rPr>
                <w:rFonts w:eastAsia="仿宋"/>
                <w:color w:val="auto"/>
                <w:sz w:val="21"/>
                <w:highlight w:val="none"/>
              </w:rPr>
            </w:pPr>
            <w:r>
              <w:rPr>
                <w:rFonts w:eastAsia="仿宋"/>
                <w:color w:val="auto"/>
                <w:sz w:val="21"/>
                <w:highlight w:val="none"/>
              </w:rPr>
              <w:t>二</w:t>
            </w:r>
          </w:p>
        </w:tc>
        <w:tc>
          <w:tcPr>
            <w:tcW w:w="420" w:type="pct"/>
            <w:gridSpan w:val="2"/>
            <w:vAlign w:val="center"/>
          </w:tcPr>
          <w:p>
            <w:pPr>
              <w:pStyle w:val="52"/>
              <w:snapToGrid w:val="0"/>
              <w:rPr>
                <w:rFonts w:eastAsia="仿宋"/>
                <w:color w:val="auto"/>
                <w:sz w:val="21"/>
                <w:highlight w:val="none"/>
              </w:rPr>
            </w:pPr>
          </w:p>
        </w:tc>
        <w:tc>
          <w:tcPr>
            <w:tcW w:w="333" w:type="pct"/>
            <w:vAlign w:val="center"/>
          </w:tcPr>
          <w:p>
            <w:pPr>
              <w:pStyle w:val="52"/>
              <w:snapToGrid w:val="0"/>
              <w:rPr>
                <w:rFonts w:eastAsia="仿宋"/>
                <w:color w:val="auto"/>
                <w:sz w:val="21"/>
                <w:highlight w:val="none"/>
              </w:rPr>
            </w:pPr>
            <w:r>
              <w:rPr>
                <w:rFonts w:eastAsia="仿宋"/>
                <w:color w:val="auto"/>
                <w:sz w:val="21"/>
                <w:highlight w:val="none"/>
              </w:rPr>
              <w:t>一</w:t>
            </w:r>
          </w:p>
        </w:tc>
        <w:tc>
          <w:tcPr>
            <w:tcW w:w="354" w:type="pct"/>
            <w:gridSpan w:val="3"/>
            <w:vAlign w:val="center"/>
          </w:tcPr>
          <w:p>
            <w:pPr>
              <w:pStyle w:val="52"/>
              <w:snapToGrid w:val="0"/>
              <w:rPr>
                <w:rFonts w:eastAsia="仿宋"/>
                <w:color w:val="auto"/>
                <w:sz w:val="21"/>
                <w:highlight w:val="none"/>
              </w:rPr>
            </w:pPr>
            <w:r>
              <w:rPr>
                <w:rFonts w:eastAsia="仿宋"/>
                <w:color w:val="auto"/>
                <w:sz w:val="21"/>
                <w:highlight w:val="none"/>
              </w:rPr>
              <w:t>一</w:t>
            </w:r>
          </w:p>
        </w:tc>
        <w:tc>
          <w:tcPr>
            <w:tcW w:w="409" w:type="pct"/>
            <w:vMerge w:val="continue"/>
            <w:vAlign w:val="center"/>
          </w:tcPr>
          <w:p>
            <w:pPr>
              <w:pStyle w:val="52"/>
              <w:snapToGrid w:val="0"/>
              <w:rPr>
                <w:rFonts w:eastAsia="仿宋"/>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1" w:type="pct"/>
            <w:gridSpan w:val="2"/>
            <w:vMerge w:val="continue"/>
            <w:vAlign w:val="center"/>
          </w:tcPr>
          <w:p>
            <w:pPr>
              <w:pStyle w:val="52"/>
              <w:snapToGrid w:val="0"/>
              <w:rPr>
                <w:rFonts w:eastAsia="仿宋"/>
                <w:color w:val="auto"/>
                <w:sz w:val="21"/>
                <w:highlight w:val="none"/>
              </w:rPr>
            </w:pPr>
          </w:p>
        </w:tc>
        <w:tc>
          <w:tcPr>
            <w:tcW w:w="663" w:type="pct"/>
            <w:vMerge w:val="continue"/>
            <w:vAlign w:val="center"/>
          </w:tcPr>
          <w:p>
            <w:pPr>
              <w:pStyle w:val="52"/>
              <w:snapToGrid w:val="0"/>
              <w:rPr>
                <w:rFonts w:eastAsia="仿宋"/>
                <w:color w:val="auto"/>
                <w:sz w:val="21"/>
                <w:highlight w:val="none"/>
              </w:rPr>
            </w:pPr>
          </w:p>
        </w:tc>
        <w:tc>
          <w:tcPr>
            <w:tcW w:w="445" w:type="pct"/>
            <w:vMerge w:val="restart"/>
            <w:vAlign w:val="center"/>
          </w:tcPr>
          <w:p>
            <w:pPr>
              <w:pStyle w:val="52"/>
              <w:snapToGrid w:val="0"/>
              <w:rPr>
                <w:rFonts w:eastAsia="仿宋"/>
                <w:color w:val="auto"/>
                <w:sz w:val="21"/>
                <w:highlight w:val="none"/>
              </w:rPr>
            </w:pPr>
            <w:r>
              <w:rPr>
                <w:rFonts w:eastAsia="仿宋"/>
                <w:color w:val="auto"/>
                <w:sz w:val="21"/>
                <w:highlight w:val="none"/>
              </w:rPr>
              <w:t>剪力墙</w:t>
            </w:r>
          </w:p>
        </w:tc>
        <w:tc>
          <w:tcPr>
            <w:tcW w:w="526" w:type="pct"/>
            <w:vAlign w:val="center"/>
          </w:tcPr>
          <w:p>
            <w:pPr>
              <w:pStyle w:val="52"/>
              <w:snapToGrid w:val="0"/>
              <w:rPr>
                <w:rFonts w:eastAsia="仿宋"/>
                <w:color w:val="auto"/>
                <w:sz w:val="21"/>
                <w:highlight w:val="none"/>
              </w:rPr>
            </w:pPr>
            <w:r>
              <w:rPr>
                <w:rFonts w:eastAsia="仿宋"/>
                <w:color w:val="auto"/>
                <w:sz w:val="21"/>
                <w:highlight w:val="none"/>
              </w:rPr>
              <w:t>加强</w:t>
            </w:r>
          </w:p>
          <w:p>
            <w:pPr>
              <w:pStyle w:val="52"/>
              <w:snapToGrid w:val="0"/>
              <w:rPr>
                <w:rFonts w:eastAsia="仿宋"/>
                <w:color w:val="auto"/>
                <w:sz w:val="21"/>
                <w:highlight w:val="none"/>
              </w:rPr>
            </w:pPr>
            <w:r>
              <w:rPr>
                <w:rFonts w:eastAsia="仿宋"/>
                <w:color w:val="auto"/>
                <w:sz w:val="21"/>
                <w:highlight w:val="none"/>
              </w:rPr>
              <w:t>部位</w:t>
            </w:r>
          </w:p>
        </w:tc>
        <w:tc>
          <w:tcPr>
            <w:tcW w:w="453" w:type="pct"/>
            <w:vAlign w:val="center"/>
          </w:tcPr>
          <w:p>
            <w:pPr>
              <w:pStyle w:val="52"/>
              <w:snapToGrid w:val="0"/>
              <w:rPr>
                <w:rFonts w:eastAsia="仿宋"/>
                <w:color w:val="auto"/>
                <w:sz w:val="21"/>
                <w:highlight w:val="none"/>
              </w:rPr>
            </w:pPr>
            <w:r>
              <w:rPr>
                <w:rFonts w:eastAsia="仿宋"/>
                <w:color w:val="auto"/>
                <w:sz w:val="21"/>
                <w:highlight w:val="none"/>
              </w:rPr>
              <w:t>三</w:t>
            </w:r>
          </w:p>
        </w:tc>
        <w:tc>
          <w:tcPr>
            <w:tcW w:w="307" w:type="pct"/>
            <w:gridSpan w:val="2"/>
            <w:vAlign w:val="center"/>
          </w:tcPr>
          <w:p>
            <w:pPr>
              <w:pStyle w:val="52"/>
              <w:snapToGrid w:val="0"/>
              <w:rPr>
                <w:rFonts w:eastAsia="仿宋"/>
                <w:color w:val="auto"/>
                <w:sz w:val="21"/>
                <w:highlight w:val="none"/>
              </w:rPr>
            </w:pPr>
            <w:r>
              <w:rPr>
                <w:rFonts w:eastAsia="仿宋"/>
                <w:color w:val="auto"/>
                <w:sz w:val="21"/>
                <w:highlight w:val="none"/>
              </w:rPr>
              <w:t>二</w:t>
            </w:r>
          </w:p>
        </w:tc>
        <w:tc>
          <w:tcPr>
            <w:tcW w:w="420" w:type="pct"/>
            <w:gridSpan w:val="2"/>
            <w:vAlign w:val="center"/>
          </w:tcPr>
          <w:p>
            <w:pPr>
              <w:pStyle w:val="52"/>
              <w:snapToGrid w:val="0"/>
              <w:rPr>
                <w:rFonts w:eastAsia="仿宋"/>
                <w:color w:val="auto"/>
                <w:sz w:val="21"/>
                <w:highlight w:val="none"/>
              </w:rPr>
            </w:pPr>
          </w:p>
        </w:tc>
        <w:tc>
          <w:tcPr>
            <w:tcW w:w="333" w:type="pct"/>
            <w:vAlign w:val="center"/>
          </w:tcPr>
          <w:p>
            <w:pPr>
              <w:pStyle w:val="52"/>
              <w:snapToGrid w:val="0"/>
              <w:rPr>
                <w:rFonts w:eastAsia="仿宋"/>
                <w:color w:val="auto"/>
                <w:sz w:val="21"/>
                <w:highlight w:val="none"/>
              </w:rPr>
            </w:pPr>
            <w:r>
              <w:rPr>
                <w:rFonts w:eastAsia="仿宋"/>
                <w:color w:val="auto"/>
                <w:sz w:val="21"/>
                <w:highlight w:val="none"/>
              </w:rPr>
              <w:t>二</w:t>
            </w:r>
          </w:p>
        </w:tc>
        <w:tc>
          <w:tcPr>
            <w:tcW w:w="354" w:type="pct"/>
            <w:gridSpan w:val="3"/>
            <w:vAlign w:val="center"/>
          </w:tcPr>
          <w:p>
            <w:pPr>
              <w:pStyle w:val="52"/>
              <w:snapToGrid w:val="0"/>
              <w:rPr>
                <w:rFonts w:eastAsia="仿宋"/>
                <w:color w:val="auto"/>
                <w:sz w:val="21"/>
                <w:highlight w:val="none"/>
              </w:rPr>
            </w:pPr>
            <w:r>
              <w:rPr>
                <w:rFonts w:eastAsia="仿宋"/>
                <w:color w:val="auto"/>
                <w:sz w:val="21"/>
                <w:highlight w:val="none"/>
              </w:rPr>
              <w:t>一</w:t>
            </w:r>
          </w:p>
        </w:tc>
        <w:tc>
          <w:tcPr>
            <w:tcW w:w="409" w:type="pct"/>
            <w:vMerge w:val="continue"/>
            <w:vAlign w:val="center"/>
          </w:tcPr>
          <w:p>
            <w:pPr>
              <w:pStyle w:val="52"/>
              <w:snapToGrid w:val="0"/>
              <w:rPr>
                <w:rFonts w:eastAsia="仿宋"/>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1" w:type="pct"/>
            <w:gridSpan w:val="2"/>
            <w:vMerge w:val="continue"/>
            <w:vAlign w:val="center"/>
          </w:tcPr>
          <w:p>
            <w:pPr>
              <w:pStyle w:val="52"/>
              <w:snapToGrid w:val="0"/>
              <w:rPr>
                <w:rFonts w:eastAsia="仿宋"/>
                <w:color w:val="auto"/>
                <w:sz w:val="21"/>
                <w:highlight w:val="none"/>
              </w:rPr>
            </w:pPr>
          </w:p>
        </w:tc>
        <w:tc>
          <w:tcPr>
            <w:tcW w:w="663" w:type="pct"/>
            <w:vMerge w:val="continue"/>
            <w:vAlign w:val="center"/>
          </w:tcPr>
          <w:p>
            <w:pPr>
              <w:pStyle w:val="52"/>
              <w:snapToGrid w:val="0"/>
              <w:rPr>
                <w:rFonts w:eastAsia="仿宋"/>
                <w:color w:val="auto"/>
                <w:sz w:val="21"/>
                <w:highlight w:val="none"/>
              </w:rPr>
            </w:pPr>
          </w:p>
        </w:tc>
        <w:tc>
          <w:tcPr>
            <w:tcW w:w="445" w:type="pct"/>
            <w:vMerge w:val="continue"/>
            <w:vAlign w:val="center"/>
          </w:tcPr>
          <w:p>
            <w:pPr>
              <w:pStyle w:val="52"/>
              <w:snapToGrid w:val="0"/>
              <w:rPr>
                <w:rFonts w:eastAsia="仿宋"/>
                <w:color w:val="auto"/>
                <w:sz w:val="21"/>
                <w:highlight w:val="none"/>
              </w:rPr>
            </w:pPr>
          </w:p>
        </w:tc>
        <w:tc>
          <w:tcPr>
            <w:tcW w:w="526" w:type="pct"/>
            <w:vAlign w:val="center"/>
          </w:tcPr>
          <w:p>
            <w:pPr>
              <w:pStyle w:val="52"/>
              <w:snapToGrid w:val="0"/>
              <w:rPr>
                <w:rFonts w:eastAsia="仿宋"/>
                <w:color w:val="auto"/>
                <w:sz w:val="21"/>
                <w:highlight w:val="none"/>
              </w:rPr>
            </w:pPr>
            <w:r>
              <w:rPr>
                <w:rFonts w:eastAsia="仿宋"/>
                <w:color w:val="auto"/>
                <w:sz w:val="21"/>
                <w:highlight w:val="none"/>
              </w:rPr>
              <w:t>一般</w:t>
            </w:r>
          </w:p>
          <w:p>
            <w:pPr>
              <w:pStyle w:val="52"/>
              <w:snapToGrid w:val="0"/>
              <w:rPr>
                <w:rFonts w:eastAsia="仿宋"/>
                <w:color w:val="auto"/>
                <w:sz w:val="21"/>
                <w:highlight w:val="none"/>
              </w:rPr>
            </w:pPr>
            <w:r>
              <w:rPr>
                <w:rFonts w:eastAsia="仿宋"/>
                <w:color w:val="auto"/>
                <w:sz w:val="21"/>
                <w:highlight w:val="none"/>
              </w:rPr>
              <w:t>部位</w:t>
            </w:r>
          </w:p>
        </w:tc>
        <w:tc>
          <w:tcPr>
            <w:tcW w:w="453" w:type="pct"/>
            <w:vAlign w:val="center"/>
          </w:tcPr>
          <w:p>
            <w:pPr>
              <w:pStyle w:val="52"/>
              <w:snapToGrid w:val="0"/>
              <w:rPr>
                <w:rFonts w:eastAsia="仿宋"/>
                <w:color w:val="auto"/>
                <w:sz w:val="21"/>
                <w:highlight w:val="none"/>
              </w:rPr>
            </w:pPr>
            <w:r>
              <w:rPr>
                <w:rFonts w:eastAsia="仿宋"/>
                <w:color w:val="auto"/>
                <w:sz w:val="21"/>
                <w:highlight w:val="none"/>
              </w:rPr>
              <w:t>四</w:t>
            </w:r>
          </w:p>
        </w:tc>
        <w:tc>
          <w:tcPr>
            <w:tcW w:w="307" w:type="pct"/>
            <w:gridSpan w:val="2"/>
            <w:vAlign w:val="center"/>
          </w:tcPr>
          <w:p>
            <w:pPr>
              <w:pStyle w:val="52"/>
              <w:snapToGrid w:val="0"/>
              <w:rPr>
                <w:rFonts w:eastAsia="仿宋"/>
                <w:color w:val="auto"/>
                <w:sz w:val="21"/>
                <w:highlight w:val="none"/>
              </w:rPr>
            </w:pPr>
            <w:r>
              <w:rPr>
                <w:rFonts w:eastAsia="仿宋"/>
                <w:color w:val="auto"/>
                <w:sz w:val="21"/>
                <w:highlight w:val="none"/>
              </w:rPr>
              <w:t>三</w:t>
            </w:r>
          </w:p>
        </w:tc>
        <w:tc>
          <w:tcPr>
            <w:tcW w:w="420" w:type="pct"/>
            <w:gridSpan w:val="2"/>
            <w:vAlign w:val="center"/>
          </w:tcPr>
          <w:p>
            <w:pPr>
              <w:pStyle w:val="52"/>
              <w:snapToGrid w:val="0"/>
              <w:rPr>
                <w:rFonts w:eastAsia="仿宋"/>
                <w:color w:val="auto"/>
                <w:sz w:val="21"/>
                <w:highlight w:val="none"/>
              </w:rPr>
            </w:pPr>
          </w:p>
        </w:tc>
        <w:tc>
          <w:tcPr>
            <w:tcW w:w="333" w:type="pct"/>
            <w:vAlign w:val="center"/>
          </w:tcPr>
          <w:p>
            <w:pPr>
              <w:pStyle w:val="52"/>
              <w:snapToGrid w:val="0"/>
              <w:rPr>
                <w:rFonts w:eastAsia="仿宋"/>
                <w:color w:val="auto"/>
                <w:sz w:val="21"/>
                <w:highlight w:val="none"/>
              </w:rPr>
            </w:pPr>
            <w:r>
              <w:rPr>
                <w:rFonts w:eastAsia="仿宋"/>
                <w:color w:val="auto"/>
                <w:sz w:val="21"/>
                <w:highlight w:val="none"/>
              </w:rPr>
              <w:t>三</w:t>
            </w:r>
          </w:p>
        </w:tc>
        <w:tc>
          <w:tcPr>
            <w:tcW w:w="354" w:type="pct"/>
            <w:gridSpan w:val="3"/>
            <w:vAlign w:val="center"/>
          </w:tcPr>
          <w:p>
            <w:pPr>
              <w:pStyle w:val="52"/>
              <w:snapToGrid w:val="0"/>
              <w:rPr>
                <w:rFonts w:eastAsia="仿宋"/>
                <w:color w:val="auto"/>
                <w:sz w:val="21"/>
                <w:highlight w:val="none"/>
              </w:rPr>
            </w:pPr>
            <w:r>
              <w:rPr>
                <w:rFonts w:eastAsia="仿宋"/>
                <w:color w:val="auto"/>
                <w:sz w:val="21"/>
                <w:highlight w:val="none"/>
              </w:rPr>
              <w:t>二</w:t>
            </w:r>
          </w:p>
        </w:tc>
        <w:tc>
          <w:tcPr>
            <w:tcW w:w="409" w:type="pct"/>
            <w:vMerge w:val="continue"/>
            <w:vAlign w:val="center"/>
          </w:tcPr>
          <w:p>
            <w:pPr>
              <w:pStyle w:val="52"/>
              <w:snapToGrid w:val="0"/>
              <w:rPr>
                <w:rFonts w:eastAsia="仿宋"/>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4" w:type="pct"/>
            <w:vMerge w:val="restart"/>
            <w:vAlign w:val="center"/>
          </w:tcPr>
          <w:p>
            <w:pPr>
              <w:pStyle w:val="52"/>
              <w:snapToGrid w:val="0"/>
              <w:rPr>
                <w:rFonts w:eastAsia="仿宋"/>
                <w:color w:val="auto"/>
                <w:sz w:val="21"/>
                <w:highlight w:val="none"/>
              </w:rPr>
            </w:pPr>
            <w:r>
              <w:rPr>
                <w:rFonts w:eastAsia="仿宋"/>
                <w:color w:val="auto"/>
                <w:sz w:val="21"/>
                <w:highlight w:val="none"/>
              </w:rPr>
              <w:t>模块化</w:t>
            </w:r>
          </w:p>
          <w:p>
            <w:pPr>
              <w:pStyle w:val="52"/>
              <w:snapToGrid w:val="0"/>
              <w:rPr>
                <w:rFonts w:eastAsia="仿宋"/>
                <w:color w:val="auto"/>
                <w:sz w:val="21"/>
                <w:highlight w:val="none"/>
              </w:rPr>
            </w:pPr>
            <w:r>
              <w:rPr>
                <w:rFonts w:eastAsia="仿宋"/>
                <w:color w:val="auto"/>
                <w:sz w:val="21"/>
                <w:highlight w:val="none"/>
              </w:rPr>
              <w:t>箱模结构</w:t>
            </w:r>
          </w:p>
        </w:tc>
        <w:tc>
          <w:tcPr>
            <w:tcW w:w="597" w:type="pct"/>
            <w:vMerge w:val="restart"/>
            <w:vAlign w:val="center"/>
          </w:tcPr>
          <w:p>
            <w:pPr>
              <w:pStyle w:val="52"/>
              <w:snapToGrid w:val="0"/>
              <w:rPr>
                <w:rFonts w:eastAsia="仿宋"/>
                <w:color w:val="auto"/>
                <w:sz w:val="21"/>
                <w:highlight w:val="none"/>
              </w:rPr>
            </w:pPr>
            <w:r>
              <w:rPr>
                <w:rFonts w:eastAsia="仿宋"/>
                <w:color w:val="auto"/>
                <w:sz w:val="21"/>
                <w:highlight w:val="none"/>
              </w:rPr>
              <w:t>箱模框架结构</w:t>
            </w:r>
          </w:p>
        </w:tc>
        <w:tc>
          <w:tcPr>
            <w:tcW w:w="1634" w:type="pct"/>
            <w:gridSpan w:val="3"/>
            <w:vAlign w:val="center"/>
          </w:tcPr>
          <w:p>
            <w:pPr>
              <w:pStyle w:val="52"/>
              <w:rPr>
                <w:rFonts w:eastAsia="仿宋"/>
                <w:color w:val="auto"/>
                <w:sz w:val="21"/>
                <w:highlight w:val="none"/>
              </w:rPr>
            </w:pPr>
            <w:r>
              <w:rPr>
                <w:rFonts w:eastAsia="仿宋"/>
                <w:color w:val="auto"/>
                <w:sz w:val="21"/>
                <w:highlight w:val="none"/>
              </w:rPr>
              <w:t>高度</w:t>
            </w:r>
          </w:p>
        </w:tc>
        <w:tc>
          <w:tcPr>
            <w:tcW w:w="547" w:type="pct"/>
            <w:gridSpan w:val="2"/>
            <w:vAlign w:val="center"/>
          </w:tcPr>
          <w:p>
            <w:pPr>
              <w:pStyle w:val="52"/>
              <w:rPr>
                <w:rFonts w:eastAsia="仿宋"/>
                <w:color w:val="auto"/>
                <w:sz w:val="21"/>
                <w:highlight w:val="none"/>
              </w:rPr>
            </w:pPr>
            <w:r>
              <w:rPr>
                <w:rFonts w:eastAsia="仿宋"/>
                <w:color w:val="auto"/>
                <w:sz w:val="21"/>
                <w:highlight w:val="none"/>
              </w:rPr>
              <w:t>≤24</w:t>
            </w:r>
          </w:p>
        </w:tc>
        <w:tc>
          <w:tcPr>
            <w:tcW w:w="632" w:type="pct"/>
            <w:gridSpan w:val="3"/>
            <w:vAlign w:val="center"/>
          </w:tcPr>
          <w:p>
            <w:pPr>
              <w:pStyle w:val="52"/>
              <w:rPr>
                <w:rFonts w:eastAsia="仿宋"/>
                <w:color w:val="auto"/>
                <w:sz w:val="21"/>
                <w:highlight w:val="none"/>
              </w:rPr>
            </w:pPr>
            <w:r>
              <w:rPr>
                <w:rFonts w:eastAsia="仿宋"/>
                <w:color w:val="auto"/>
                <w:sz w:val="21"/>
                <w:highlight w:val="none"/>
              </w:rPr>
              <w:t>＞24</w:t>
            </w:r>
          </w:p>
        </w:tc>
        <w:tc>
          <w:tcPr>
            <w:tcW w:w="466" w:type="pct"/>
            <w:gridSpan w:val="2"/>
            <w:vAlign w:val="center"/>
          </w:tcPr>
          <w:p>
            <w:pPr>
              <w:pStyle w:val="52"/>
              <w:rPr>
                <w:rFonts w:eastAsia="仿宋"/>
                <w:color w:val="auto"/>
                <w:sz w:val="21"/>
                <w:highlight w:val="none"/>
              </w:rPr>
            </w:pPr>
            <w:r>
              <w:rPr>
                <w:rFonts w:eastAsia="仿宋"/>
                <w:color w:val="auto"/>
                <w:sz w:val="21"/>
                <w:highlight w:val="none"/>
              </w:rPr>
              <w:t>≤24</w:t>
            </w:r>
          </w:p>
        </w:tc>
        <w:tc>
          <w:tcPr>
            <w:tcW w:w="629" w:type="pct"/>
            <w:gridSpan w:val="3"/>
            <w:vAlign w:val="center"/>
          </w:tcPr>
          <w:p>
            <w:pPr>
              <w:pStyle w:val="52"/>
              <w:rPr>
                <w:rFonts w:eastAsia="仿宋"/>
                <w:color w:val="auto"/>
                <w:sz w:val="21"/>
                <w:highlight w:val="none"/>
              </w:rPr>
            </w:pPr>
            <w:r>
              <w:rPr>
                <w:rFonts w:eastAsia="仿宋"/>
                <w:color w:val="auto"/>
                <w:sz w:val="21"/>
                <w:highlight w:val="none"/>
              </w:rPr>
              <w:t>＞24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4" w:type="pct"/>
            <w:vMerge w:val="continue"/>
            <w:vAlign w:val="center"/>
          </w:tcPr>
          <w:p>
            <w:pPr>
              <w:pStyle w:val="52"/>
              <w:snapToGrid w:val="0"/>
              <w:rPr>
                <w:rFonts w:eastAsia="仿宋"/>
                <w:color w:val="auto"/>
                <w:sz w:val="21"/>
                <w:highlight w:val="none"/>
              </w:rPr>
            </w:pPr>
          </w:p>
        </w:tc>
        <w:tc>
          <w:tcPr>
            <w:tcW w:w="597" w:type="pct"/>
            <w:vMerge w:val="continue"/>
            <w:vAlign w:val="center"/>
          </w:tcPr>
          <w:p>
            <w:pPr>
              <w:pStyle w:val="52"/>
              <w:snapToGrid w:val="0"/>
              <w:rPr>
                <w:rFonts w:eastAsia="仿宋"/>
                <w:color w:val="auto"/>
                <w:sz w:val="21"/>
                <w:highlight w:val="none"/>
              </w:rPr>
            </w:pPr>
          </w:p>
        </w:tc>
        <w:tc>
          <w:tcPr>
            <w:tcW w:w="1634" w:type="pct"/>
            <w:gridSpan w:val="3"/>
            <w:vAlign w:val="center"/>
          </w:tcPr>
          <w:p>
            <w:pPr>
              <w:pStyle w:val="52"/>
              <w:rPr>
                <w:rFonts w:eastAsia="仿宋"/>
                <w:color w:val="auto"/>
                <w:sz w:val="21"/>
                <w:highlight w:val="none"/>
              </w:rPr>
            </w:pPr>
            <w:r>
              <w:rPr>
                <w:rFonts w:eastAsia="仿宋"/>
                <w:color w:val="auto"/>
                <w:sz w:val="21"/>
                <w:highlight w:val="none"/>
              </w:rPr>
              <w:t>框架</w:t>
            </w:r>
          </w:p>
        </w:tc>
        <w:tc>
          <w:tcPr>
            <w:tcW w:w="547" w:type="pct"/>
            <w:gridSpan w:val="2"/>
            <w:vAlign w:val="center"/>
          </w:tcPr>
          <w:p>
            <w:pPr>
              <w:pStyle w:val="52"/>
              <w:rPr>
                <w:rFonts w:eastAsia="仿宋"/>
                <w:color w:val="auto"/>
                <w:sz w:val="21"/>
                <w:highlight w:val="none"/>
              </w:rPr>
            </w:pPr>
            <w:r>
              <w:rPr>
                <w:rFonts w:eastAsia="仿宋"/>
                <w:color w:val="auto"/>
                <w:sz w:val="21"/>
                <w:highlight w:val="none"/>
              </w:rPr>
              <w:t>三</w:t>
            </w:r>
          </w:p>
        </w:tc>
        <w:tc>
          <w:tcPr>
            <w:tcW w:w="632" w:type="pct"/>
            <w:gridSpan w:val="3"/>
            <w:vAlign w:val="center"/>
          </w:tcPr>
          <w:p>
            <w:pPr>
              <w:pStyle w:val="52"/>
              <w:rPr>
                <w:rFonts w:eastAsia="仿宋"/>
                <w:color w:val="auto"/>
                <w:sz w:val="21"/>
                <w:highlight w:val="none"/>
              </w:rPr>
            </w:pPr>
            <w:r>
              <w:rPr>
                <w:rFonts w:eastAsia="仿宋"/>
                <w:color w:val="auto"/>
                <w:sz w:val="21"/>
                <w:highlight w:val="none"/>
              </w:rPr>
              <w:t>二</w:t>
            </w:r>
          </w:p>
        </w:tc>
        <w:tc>
          <w:tcPr>
            <w:tcW w:w="466" w:type="pct"/>
            <w:gridSpan w:val="2"/>
            <w:vAlign w:val="center"/>
          </w:tcPr>
          <w:p>
            <w:pPr>
              <w:pStyle w:val="52"/>
              <w:rPr>
                <w:rFonts w:eastAsia="仿宋"/>
                <w:color w:val="auto"/>
                <w:sz w:val="21"/>
                <w:highlight w:val="none"/>
              </w:rPr>
            </w:pPr>
            <w:r>
              <w:rPr>
                <w:rFonts w:eastAsia="仿宋"/>
                <w:color w:val="auto"/>
                <w:sz w:val="21"/>
                <w:highlight w:val="none"/>
              </w:rPr>
              <w:t>二</w:t>
            </w:r>
          </w:p>
        </w:tc>
        <w:tc>
          <w:tcPr>
            <w:tcW w:w="629" w:type="pct"/>
            <w:gridSpan w:val="3"/>
            <w:vAlign w:val="center"/>
          </w:tcPr>
          <w:p>
            <w:pPr>
              <w:pStyle w:val="52"/>
              <w:rPr>
                <w:rFonts w:eastAsia="仿宋"/>
                <w:color w:val="auto"/>
                <w:sz w:val="21"/>
                <w:highlight w:val="none"/>
              </w:rPr>
            </w:pPr>
            <w:r>
              <w:rPr>
                <w:rFonts w:eastAsia="仿宋"/>
                <w:color w:val="auto"/>
                <w:sz w:val="21"/>
                <w:highlight w:val="none"/>
              </w:rPr>
              <w:t>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4" w:type="pct"/>
            <w:vMerge w:val="continue"/>
            <w:vAlign w:val="center"/>
          </w:tcPr>
          <w:p>
            <w:pPr>
              <w:pStyle w:val="52"/>
              <w:snapToGrid w:val="0"/>
              <w:rPr>
                <w:rFonts w:eastAsia="仿宋"/>
                <w:color w:val="auto"/>
                <w:sz w:val="21"/>
                <w:highlight w:val="none"/>
              </w:rPr>
            </w:pPr>
          </w:p>
        </w:tc>
        <w:tc>
          <w:tcPr>
            <w:tcW w:w="597" w:type="pct"/>
            <w:vMerge w:val="restart"/>
            <w:vAlign w:val="center"/>
          </w:tcPr>
          <w:p>
            <w:pPr>
              <w:pStyle w:val="52"/>
              <w:snapToGrid w:val="0"/>
              <w:rPr>
                <w:rFonts w:eastAsia="仿宋"/>
                <w:color w:val="auto"/>
                <w:sz w:val="21"/>
                <w:highlight w:val="none"/>
              </w:rPr>
            </w:pPr>
            <w:r>
              <w:rPr>
                <w:rFonts w:eastAsia="仿宋"/>
                <w:color w:val="auto"/>
                <w:sz w:val="21"/>
                <w:highlight w:val="none"/>
              </w:rPr>
              <w:t>箱模框架-剪力墙结构</w:t>
            </w:r>
          </w:p>
        </w:tc>
        <w:tc>
          <w:tcPr>
            <w:tcW w:w="1634" w:type="pct"/>
            <w:gridSpan w:val="3"/>
            <w:vAlign w:val="center"/>
          </w:tcPr>
          <w:p>
            <w:pPr>
              <w:pStyle w:val="52"/>
              <w:rPr>
                <w:rFonts w:eastAsia="仿宋"/>
                <w:color w:val="auto"/>
                <w:sz w:val="21"/>
                <w:highlight w:val="none"/>
              </w:rPr>
            </w:pPr>
            <w:r>
              <w:rPr>
                <w:rFonts w:eastAsia="仿宋"/>
                <w:color w:val="auto"/>
                <w:sz w:val="21"/>
                <w:highlight w:val="none"/>
              </w:rPr>
              <w:t>高度</w:t>
            </w:r>
          </w:p>
        </w:tc>
        <w:tc>
          <w:tcPr>
            <w:tcW w:w="453" w:type="pct"/>
            <w:vAlign w:val="center"/>
          </w:tcPr>
          <w:p>
            <w:pPr>
              <w:pStyle w:val="52"/>
              <w:rPr>
                <w:rFonts w:eastAsia="仿宋"/>
                <w:color w:val="auto"/>
                <w:sz w:val="21"/>
                <w:highlight w:val="none"/>
              </w:rPr>
            </w:pPr>
            <w:r>
              <w:rPr>
                <w:rFonts w:eastAsia="仿宋"/>
                <w:color w:val="auto"/>
                <w:sz w:val="21"/>
                <w:highlight w:val="none"/>
              </w:rPr>
              <w:t>≤24</w:t>
            </w:r>
          </w:p>
        </w:tc>
        <w:tc>
          <w:tcPr>
            <w:tcW w:w="327" w:type="pct"/>
            <w:gridSpan w:val="3"/>
            <w:vAlign w:val="center"/>
          </w:tcPr>
          <w:p>
            <w:pPr>
              <w:pStyle w:val="52"/>
              <w:rPr>
                <w:rFonts w:eastAsia="仿宋"/>
                <w:color w:val="auto"/>
                <w:sz w:val="21"/>
                <w:highlight w:val="none"/>
              </w:rPr>
            </w:pPr>
            <w:r>
              <w:rPr>
                <w:rFonts w:eastAsia="仿宋"/>
                <w:color w:val="auto"/>
                <w:sz w:val="21"/>
                <w:highlight w:val="none"/>
              </w:rPr>
              <w:t>25~60</w:t>
            </w:r>
          </w:p>
        </w:tc>
        <w:tc>
          <w:tcPr>
            <w:tcW w:w="400" w:type="pct"/>
            <w:vAlign w:val="center"/>
          </w:tcPr>
          <w:p>
            <w:pPr>
              <w:pStyle w:val="52"/>
              <w:rPr>
                <w:rFonts w:eastAsia="仿宋"/>
                <w:color w:val="auto"/>
                <w:sz w:val="21"/>
                <w:highlight w:val="none"/>
              </w:rPr>
            </w:pPr>
            <w:r>
              <w:rPr>
                <w:rFonts w:eastAsia="仿宋"/>
                <w:color w:val="auto"/>
                <w:sz w:val="21"/>
                <w:highlight w:val="none"/>
              </w:rPr>
              <w:t>＞60</w:t>
            </w:r>
          </w:p>
        </w:tc>
        <w:tc>
          <w:tcPr>
            <w:tcW w:w="333" w:type="pct"/>
            <w:vAlign w:val="center"/>
          </w:tcPr>
          <w:p>
            <w:pPr>
              <w:pStyle w:val="52"/>
              <w:rPr>
                <w:rFonts w:eastAsia="仿宋"/>
                <w:color w:val="auto"/>
                <w:sz w:val="21"/>
                <w:highlight w:val="none"/>
              </w:rPr>
            </w:pPr>
            <w:r>
              <w:rPr>
                <w:rFonts w:eastAsia="仿宋"/>
                <w:color w:val="auto"/>
                <w:sz w:val="21"/>
                <w:highlight w:val="none"/>
              </w:rPr>
              <w:t>≤24</w:t>
            </w:r>
          </w:p>
        </w:tc>
        <w:tc>
          <w:tcPr>
            <w:tcW w:w="321" w:type="pct"/>
            <w:gridSpan w:val="2"/>
            <w:vAlign w:val="center"/>
          </w:tcPr>
          <w:p>
            <w:pPr>
              <w:pStyle w:val="52"/>
              <w:rPr>
                <w:rFonts w:eastAsia="仿宋"/>
                <w:color w:val="auto"/>
                <w:sz w:val="21"/>
                <w:highlight w:val="none"/>
              </w:rPr>
            </w:pPr>
            <w:r>
              <w:rPr>
                <w:rFonts w:eastAsia="仿宋"/>
                <w:color w:val="auto"/>
                <w:sz w:val="21"/>
                <w:highlight w:val="none"/>
              </w:rPr>
              <w:t>25~60</w:t>
            </w:r>
          </w:p>
        </w:tc>
        <w:tc>
          <w:tcPr>
            <w:tcW w:w="442" w:type="pct"/>
            <w:gridSpan w:val="2"/>
            <w:vAlign w:val="center"/>
          </w:tcPr>
          <w:p>
            <w:pPr>
              <w:pStyle w:val="52"/>
              <w:rPr>
                <w:rFonts w:eastAsia="仿宋"/>
                <w:color w:val="auto"/>
                <w:sz w:val="21"/>
                <w:highlight w:val="none"/>
              </w:rPr>
            </w:pPr>
            <w:r>
              <w:rPr>
                <w:rFonts w:eastAsia="仿宋"/>
                <w:color w:val="auto"/>
                <w:sz w:val="21"/>
                <w:highlight w:val="none"/>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4" w:type="pct"/>
            <w:vMerge w:val="continue"/>
            <w:vAlign w:val="center"/>
          </w:tcPr>
          <w:p>
            <w:pPr>
              <w:pStyle w:val="52"/>
              <w:snapToGrid w:val="0"/>
              <w:rPr>
                <w:rFonts w:eastAsia="仿宋"/>
                <w:color w:val="auto"/>
                <w:sz w:val="21"/>
                <w:highlight w:val="none"/>
              </w:rPr>
            </w:pPr>
          </w:p>
        </w:tc>
        <w:tc>
          <w:tcPr>
            <w:tcW w:w="597" w:type="pct"/>
            <w:vMerge w:val="continue"/>
            <w:vAlign w:val="center"/>
          </w:tcPr>
          <w:p>
            <w:pPr>
              <w:pStyle w:val="52"/>
              <w:snapToGrid w:val="0"/>
              <w:rPr>
                <w:rFonts w:eastAsia="仿宋"/>
                <w:color w:val="auto"/>
                <w:sz w:val="21"/>
                <w:highlight w:val="none"/>
              </w:rPr>
            </w:pPr>
          </w:p>
        </w:tc>
        <w:tc>
          <w:tcPr>
            <w:tcW w:w="1634" w:type="pct"/>
            <w:gridSpan w:val="3"/>
            <w:vAlign w:val="center"/>
          </w:tcPr>
          <w:p>
            <w:pPr>
              <w:pStyle w:val="52"/>
              <w:rPr>
                <w:rFonts w:eastAsia="仿宋"/>
                <w:color w:val="auto"/>
                <w:sz w:val="21"/>
                <w:highlight w:val="none"/>
              </w:rPr>
            </w:pPr>
            <w:r>
              <w:rPr>
                <w:rFonts w:eastAsia="仿宋"/>
                <w:color w:val="auto"/>
                <w:sz w:val="21"/>
                <w:highlight w:val="none"/>
              </w:rPr>
              <w:t>框架</w:t>
            </w:r>
          </w:p>
        </w:tc>
        <w:tc>
          <w:tcPr>
            <w:tcW w:w="453" w:type="pct"/>
            <w:vAlign w:val="center"/>
          </w:tcPr>
          <w:p>
            <w:pPr>
              <w:pStyle w:val="52"/>
              <w:rPr>
                <w:rFonts w:eastAsia="仿宋"/>
                <w:color w:val="auto"/>
                <w:sz w:val="21"/>
                <w:highlight w:val="none"/>
              </w:rPr>
            </w:pPr>
            <w:r>
              <w:rPr>
                <w:rFonts w:eastAsia="仿宋"/>
                <w:color w:val="auto"/>
                <w:sz w:val="21"/>
                <w:highlight w:val="none"/>
              </w:rPr>
              <w:t>四</w:t>
            </w:r>
          </w:p>
        </w:tc>
        <w:tc>
          <w:tcPr>
            <w:tcW w:w="327" w:type="pct"/>
            <w:gridSpan w:val="3"/>
            <w:vAlign w:val="center"/>
          </w:tcPr>
          <w:p>
            <w:pPr>
              <w:pStyle w:val="52"/>
              <w:rPr>
                <w:rFonts w:eastAsia="仿宋"/>
                <w:color w:val="auto"/>
                <w:sz w:val="21"/>
                <w:highlight w:val="none"/>
              </w:rPr>
            </w:pPr>
            <w:r>
              <w:rPr>
                <w:rFonts w:eastAsia="仿宋"/>
                <w:color w:val="auto"/>
                <w:sz w:val="21"/>
                <w:highlight w:val="none"/>
              </w:rPr>
              <w:t>三</w:t>
            </w:r>
          </w:p>
        </w:tc>
        <w:tc>
          <w:tcPr>
            <w:tcW w:w="400" w:type="pct"/>
            <w:vAlign w:val="center"/>
          </w:tcPr>
          <w:p>
            <w:pPr>
              <w:pStyle w:val="52"/>
              <w:rPr>
                <w:rFonts w:eastAsia="仿宋"/>
                <w:color w:val="auto"/>
                <w:sz w:val="21"/>
                <w:highlight w:val="none"/>
              </w:rPr>
            </w:pPr>
            <w:r>
              <w:rPr>
                <w:rFonts w:eastAsia="仿宋"/>
                <w:color w:val="auto"/>
                <w:sz w:val="21"/>
                <w:highlight w:val="none"/>
              </w:rPr>
              <w:t>二</w:t>
            </w:r>
          </w:p>
        </w:tc>
        <w:tc>
          <w:tcPr>
            <w:tcW w:w="333" w:type="pct"/>
            <w:vAlign w:val="center"/>
          </w:tcPr>
          <w:p>
            <w:pPr>
              <w:pStyle w:val="52"/>
              <w:rPr>
                <w:rFonts w:eastAsia="仿宋"/>
                <w:color w:val="auto"/>
                <w:sz w:val="21"/>
                <w:highlight w:val="none"/>
              </w:rPr>
            </w:pPr>
            <w:r>
              <w:rPr>
                <w:rFonts w:eastAsia="仿宋"/>
                <w:color w:val="auto"/>
                <w:sz w:val="21"/>
                <w:highlight w:val="none"/>
              </w:rPr>
              <w:t>三</w:t>
            </w:r>
          </w:p>
        </w:tc>
        <w:tc>
          <w:tcPr>
            <w:tcW w:w="321" w:type="pct"/>
            <w:gridSpan w:val="2"/>
            <w:vAlign w:val="center"/>
          </w:tcPr>
          <w:p>
            <w:pPr>
              <w:pStyle w:val="52"/>
              <w:rPr>
                <w:rFonts w:eastAsia="仿宋"/>
                <w:color w:val="auto"/>
                <w:sz w:val="21"/>
                <w:highlight w:val="none"/>
              </w:rPr>
            </w:pPr>
            <w:r>
              <w:rPr>
                <w:rFonts w:eastAsia="仿宋"/>
                <w:color w:val="auto"/>
                <w:sz w:val="21"/>
                <w:highlight w:val="none"/>
              </w:rPr>
              <w:t>二</w:t>
            </w:r>
          </w:p>
        </w:tc>
        <w:tc>
          <w:tcPr>
            <w:tcW w:w="442" w:type="pct"/>
            <w:gridSpan w:val="2"/>
            <w:vAlign w:val="center"/>
          </w:tcPr>
          <w:p>
            <w:pPr>
              <w:pStyle w:val="52"/>
              <w:rPr>
                <w:rFonts w:eastAsia="仿宋"/>
                <w:color w:val="auto"/>
                <w:sz w:val="21"/>
                <w:highlight w:val="none"/>
              </w:rPr>
            </w:pPr>
            <w:r>
              <w:rPr>
                <w:rFonts w:eastAsia="仿宋"/>
                <w:color w:val="auto"/>
                <w:sz w:val="21"/>
                <w:highlight w:val="none"/>
              </w:rPr>
              <w:t>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4" w:type="pct"/>
            <w:vMerge w:val="continue"/>
            <w:vAlign w:val="center"/>
          </w:tcPr>
          <w:p>
            <w:pPr>
              <w:pStyle w:val="52"/>
              <w:snapToGrid w:val="0"/>
              <w:rPr>
                <w:rFonts w:eastAsia="仿宋"/>
                <w:color w:val="auto"/>
                <w:sz w:val="21"/>
                <w:highlight w:val="none"/>
              </w:rPr>
            </w:pPr>
          </w:p>
        </w:tc>
        <w:tc>
          <w:tcPr>
            <w:tcW w:w="597" w:type="pct"/>
            <w:vMerge w:val="continue"/>
            <w:vAlign w:val="center"/>
          </w:tcPr>
          <w:p>
            <w:pPr>
              <w:pStyle w:val="52"/>
              <w:snapToGrid w:val="0"/>
              <w:rPr>
                <w:rFonts w:eastAsia="仿宋"/>
                <w:color w:val="auto"/>
                <w:sz w:val="21"/>
                <w:highlight w:val="none"/>
              </w:rPr>
            </w:pPr>
          </w:p>
        </w:tc>
        <w:tc>
          <w:tcPr>
            <w:tcW w:w="1634" w:type="pct"/>
            <w:gridSpan w:val="3"/>
            <w:vAlign w:val="center"/>
          </w:tcPr>
          <w:p>
            <w:pPr>
              <w:pStyle w:val="52"/>
              <w:rPr>
                <w:rFonts w:eastAsia="仿宋"/>
                <w:color w:val="auto"/>
                <w:sz w:val="21"/>
                <w:highlight w:val="none"/>
              </w:rPr>
            </w:pPr>
            <w:r>
              <w:rPr>
                <w:rFonts w:eastAsia="仿宋"/>
                <w:color w:val="auto"/>
                <w:sz w:val="21"/>
                <w:highlight w:val="none"/>
              </w:rPr>
              <w:t>剪力墙</w:t>
            </w:r>
          </w:p>
        </w:tc>
        <w:tc>
          <w:tcPr>
            <w:tcW w:w="453" w:type="pct"/>
            <w:vAlign w:val="center"/>
          </w:tcPr>
          <w:p>
            <w:pPr>
              <w:pStyle w:val="52"/>
              <w:rPr>
                <w:rFonts w:eastAsia="仿宋"/>
                <w:color w:val="auto"/>
                <w:sz w:val="21"/>
                <w:highlight w:val="none"/>
              </w:rPr>
            </w:pPr>
            <w:r>
              <w:rPr>
                <w:rFonts w:eastAsia="仿宋"/>
                <w:color w:val="auto"/>
                <w:sz w:val="21"/>
                <w:highlight w:val="none"/>
              </w:rPr>
              <w:t>三</w:t>
            </w:r>
          </w:p>
        </w:tc>
        <w:tc>
          <w:tcPr>
            <w:tcW w:w="727" w:type="pct"/>
            <w:gridSpan w:val="4"/>
            <w:vAlign w:val="center"/>
          </w:tcPr>
          <w:p>
            <w:pPr>
              <w:pStyle w:val="52"/>
              <w:rPr>
                <w:rFonts w:eastAsia="仿宋"/>
                <w:color w:val="auto"/>
                <w:sz w:val="21"/>
                <w:highlight w:val="none"/>
              </w:rPr>
            </w:pPr>
            <w:r>
              <w:rPr>
                <w:rFonts w:eastAsia="仿宋"/>
                <w:color w:val="auto"/>
                <w:sz w:val="21"/>
                <w:highlight w:val="none"/>
              </w:rPr>
              <w:t>二</w:t>
            </w:r>
          </w:p>
        </w:tc>
        <w:tc>
          <w:tcPr>
            <w:tcW w:w="333" w:type="pct"/>
            <w:vAlign w:val="center"/>
          </w:tcPr>
          <w:p>
            <w:pPr>
              <w:pStyle w:val="52"/>
              <w:rPr>
                <w:rFonts w:eastAsia="仿宋"/>
                <w:color w:val="auto"/>
                <w:sz w:val="21"/>
                <w:highlight w:val="none"/>
              </w:rPr>
            </w:pPr>
            <w:r>
              <w:rPr>
                <w:rFonts w:eastAsia="仿宋"/>
                <w:color w:val="auto"/>
                <w:sz w:val="21"/>
                <w:highlight w:val="none"/>
              </w:rPr>
              <w:t>二</w:t>
            </w:r>
          </w:p>
        </w:tc>
        <w:tc>
          <w:tcPr>
            <w:tcW w:w="763" w:type="pct"/>
            <w:gridSpan w:val="4"/>
            <w:vAlign w:val="center"/>
          </w:tcPr>
          <w:p>
            <w:pPr>
              <w:pStyle w:val="52"/>
              <w:rPr>
                <w:rFonts w:eastAsia="仿宋"/>
                <w:color w:val="auto"/>
                <w:sz w:val="21"/>
                <w:highlight w:val="none"/>
              </w:rPr>
            </w:pPr>
            <w:r>
              <w:rPr>
                <w:rFonts w:eastAsia="仿宋"/>
                <w:color w:val="auto"/>
                <w:sz w:val="21"/>
                <w:highlight w:val="none"/>
              </w:rPr>
              <w:t>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4" w:type="pct"/>
            <w:vMerge w:val="continue"/>
            <w:vAlign w:val="center"/>
          </w:tcPr>
          <w:p>
            <w:pPr>
              <w:pStyle w:val="52"/>
              <w:snapToGrid w:val="0"/>
              <w:rPr>
                <w:rFonts w:eastAsia="仿宋"/>
                <w:color w:val="auto"/>
                <w:sz w:val="21"/>
                <w:highlight w:val="none"/>
              </w:rPr>
            </w:pPr>
          </w:p>
        </w:tc>
        <w:tc>
          <w:tcPr>
            <w:tcW w:w="597" w:type="pct"/>
            <w:vMerge w:val="restart"/>
            <w:vAlign w:val="center"/>
          </w:tcPr>
          <w:p>
            <w:pPr>
              <w:pStyle w:val="52"/>
              <w:snapToGrid w:val="0"/>
              <w:rPr>
                <w:rFonts w:eastAsia="仿宋"/>
                <w:color w:val="auto"/>
                <w:sz w:val="21"/>
                <w:highlight w:val="none"/>
              </w:rPr>
            </w:pPr>
            <w:r>
              <w:rPr>
                <w:rFonts w:eastAsia="仿宋"/>
                <w:color w:val="auto"/>
                <w:sz w:val="21"/>
                <w:highlight w:val="none"/>
              </w:rPr>
              <w:t>箱模剪力墙结构</w:t>
            </w:r>
          </w:p>
        </w:tc>
        <w:tc>
          <w:tcPr>
            <w:tcW w:w="663" w:type="pct"/>
            <w:vMerge w:val="restart"/>
            <w:vAlign w:val="center"/>
          </w:tcPr>
          <w:p>
            <w:pPr>
              <w:pStyle w:val="52"/>
              <w:snapToGrid w:val="0"/>
              <w:rPr>
                <w:rFonts w:eastAsia="仿宋"/>
                <w:color w:val="auto"/>
                <w:sz w:val="21"/>
                <w:highlight w:val="none"/>
              </w:rPr>
            </w:pPr>
            <w:r>
              <w:rPr>
                <w:rFonts w:eastAsia="仿宋"/>
                <w:color w:val="auto"/>
                <w:sz w:val="21"/>
                <w:highlight w:val="none"/>
              </w:rPr>
              <w:t>全部落地</w:t>
            </w:r>
          </w:p>
          <w:p>
            <w:pPr>
              <w:pStyle w:val="52"/>
              <w:snapToGrid w:val="0"/>
              <w:rPr>
                <w:rFonts w:eastAsia="仿宋"/>
                <w:color w:val="auto"/>
                <w:sz w:val="21"/>
                <w:highlight w:val="none"/>
              </w:rPr>
            </w:pPr>
            <w:r>
              <w:rPr>
                <w:rFonts w:eastAsia="仿宋"/>
                <w:color w:val="auto"/>
                <w:sz w:val="21"/>
                <w:highlight w:val="none"/>
              </w:rPr>
              <w:t>剪力墙</w:t>
            </w:r>
          </w:p>
        </w:tc>
        <w:tc>
          <w:tcPr>
            <w:tcW w:w="971" w:type="pct"/>
            <w:gridSpan w:val="2"/>
            <w:vAlign w:val="center"/>
          </w:tcPr>
          <w:p>
            <w:pPr>
              <w:pStyle w:val="52"/>
              <w:rPr>
                <w:rFonts w:eastAsia="仿宋"/>
                <w:color w:val="auto"/>
                <w:sz w:val="21"/>
                <w:highlight w:val="none"/>
              </w:rPr>
            </w:pPr>
            <w:r>
              <w:rPr>
                <w:rFonts w:eastAsia="仿宋"/>
                <w:color w:val="auto"/>
                <w:sz w:val="21"/>
                <w:highlight w:val="none"/>
              </w:rPr>
              <w:t>高度</w:t>
            </w:r>
          </w:p>
        </w:tc>
        <w:tc>
          <w:tcPr>
            <w:tcW w:w="453" w:type="pct"/>
            <w:vAlign w:val="center"/>
          </w:tcPr>
          <w:p>
            <w:pPr>
              <w:pStyle w:val="52"/>
              <w:rPr>
                <w:rFonts w:eastAsia="仿宋"/>
                <w:color w:val="auto"/>
                <w:sz w:val="21"/>
                <w:highlight w:val="none"/>
              </w:rPr>
            </w:pPr>
            <w:r>
              <w:rPr>
                <w:rFonts w:eastAsia="仿宋"/>
                <w:color w:val="auto"/>
                <w:sz w:val="21"/>
                <w:highlight w:val="none"/>
              </w:rPr>
              <w:t>≤24</w:t>
            </w:r>
          </w:p>
        </w:tc>
        <w:tc>
          <w:tcPr>
            <w:tcW w:w="327" w:type="pct"/>
            <w:gridSpan w:val="3"/>
            <w:vAlign w:val="center"/>
          </w:tcPr>
          <w:p>
            <w:pPr>
              <w:pStyle w:val="52"/>
              <w:rPr>
                <w:rFonts w:eastAsia="仿宋"/>
                <w:color w:val="auto"/>
                <w:sz w:val="21"/>
                <w:highlight w:val="none"/>
              </w:rPr>
            </w:pPr>
            <w:r>
              <w:rPr>
                <w:rFonts w:eastAsia="仿宋"/>
                <w:color w:val="auto"/>
                <w:sz w:val="21"/>
                <w:highlight w:val="none"/>
              </w:rPr>
              <w:t>25~80</w:t>
            </w:r>
          </w:p>
        </w:tc>
        <w:tc>
          <w:tcPr>
            <w:tcW w:w="400" w:type="pct"/>
            <w:vAlign w:val="center"/>
          </w:tcPr>
          <w:p>
            <w:pPr>
              <w:pStyle w:val="52"/>
              <w:rPr>
                <w:rFonts w:eastAsia="仿宋"/>
                <w:color w:val="auto"/>
                <w:sz w:val="21"/>
                <w:highlight w:val="none"/>
              </w:rPr>
            </w:pPr>
            <w:r>
              <w:rPr>
                <w:rFonts w:eastAsia="仿宋"/>
                <w:color w:val="auto"/>
                <w:sz w:val="21"/>
                <w:highlight w:val="none"/>
              </w:rPr>
              <w:t>＞80</w:t>
            </w:r>
          </w:p>
        </w:tc>
        <w:tc>
          <w:tcPr>
            <w:tcW w:w="333" w:type="pct"/>
            <w:vAlign w:val="center"/>
          </w:tcPr>
          <w:p>
            <w:pPr>
              <w:pStyle w:val="52"/>
              <w:rPr>
                <w:rFonts w:eastAsia="仿宋"/>
                <w:color w:val="auto"/>
                <w:sz w:val="21"/>
                <w:highlight w:val="none"/>
              </w:rPr>
            </w:pPr>
            <w:r>
              <w:rPr>
                <w:rFonts w:eastAsia="仿宋"/>
                <w:color w:val="auto"/>
                <w:sz w:val="21"/>
                <w:highlight w:val="none"/>
              </w:rPr>
              <w:t>≤24</w:t>
            </w:r>
          </w:p>
        </w:tc>
        <w:tc>
          <w:tcPr>
            <w:tcW w:w="321" w:type="pct"/>
            <w:gridSpan w:val="2"/>
            <w:vAlign w:val="center"/>
          </w:tcPr>
          <w:p>
            <w:pPr>
              <w:pStyle w:val="52"/>
              <w:rPr>
                <w:rFonts w:eastAsia="仿宋"/>
                <w:color w:val="auto"/>
                <w:sz w:val="21"/>
                <w:highlight w:val="none"/>
              </w:rPr>
            </w:pPr>
            <w:r>
              <w:rPr>
                <w:rFonts w:eastAsia="仿宋"/>
                <w:color w:val="auto"/>
                <w:sz w:val="21"/>
                <w:highlight w:val="none"/>
              </w:rPr>
              <w:t>25~80</w:t>
            </w:r>
          </w:p>
        </w:tc>
        <w:tc>
          <w:tcPr>
            <w:tcW w:w="442" w:type="pct"/>
            <w:gridSpan w:val="2"/>
            <w:vAlign w:val="center"/>
          </w:tcPr>
          <w:p>
            <w:pPr>
              <w:pStyle w:val="52"/>
              <w:rPr>
                <w:rFonts w:eastAsia="仿宋"/>
                <w:color w:val="auto"/>
                <w:sz w:val="21"/>
                <w:highlight w:val="none"/>
              </w:rPr>
            </w:pPr>
            <w:r>
              <w:rPr>
                <w:rFonts w:eastAsia="仿宋"/>
                <w:color w:val="auto"/>
                <w:sz w:val="21"/>
                <w:highlight w:val="none"/>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vAlign w:val="center"/>
          </w:tcPr>
          <w:p>
            <w:pPr>
              <w:pStyle w:val="52"/>
              <w:rPr>
                <w:rFonts w:eastAsia="仿宋"/>
                <w:color w:val="auto"/>
                <w:sz w:val="21"/>
                <w:highlight w:val="none"/>
              </w:rPr>
            </w:pPr>
          </w:p>
        </w:tc>
        <w:tc>
          <w:tcPr>
            <w:tcW w:w="597" w:type="pct"/>
            <w:vMerge w:val="continue"/>
            <w:vAlign w:val="center"/>
          </w:tcPr>
          <w:p>
            <w:pPr>
              <w:pStyle w:val="52"/>
              <w:rPr>
                <w:rFonts w:eastAsia="仿宋"/>
                <w:color w:val="auto"/>
                <w:sz w:val="21"/>
                <w:highlight w:val="none"/>
              </w:rPr>
            </w:pPr>
          </w:p>
        </w:tc>
        <w:tc>
          <w:tcPr>
            <w:tcW w:w="663" w:type="pct"/>
            <w:vMerge w:val="continue"/>
            <w:vAlign w:val="center"/>
          </w:tcPr>
          <w:p>
            <w:pPr>
              <w:pStyle w:val="52"/>
              <w:rPr>
                <w:rFonts w:eastAsia="仿宋"/>
                <w:color w:val="auto"/>
                <w:sz w:val="21"/>
                <w:highlight w:val="none"/>
              </w:rPr>
            </w:pPr>
          </w:p>
        </w:tc>
        <w:tc>
          <w:tcPr>
            <w:tcW w:w="971" w:type="pct"/>
            <w:gridSpan w:val="2"/>
            <w:vAlign w:val="center"/>
          </w:tcPr>
          <w:p>
            <w:pPr>
              <w:pStyle w:val="52"/>
              <w:rPr>
                <w:rFonts w:eastAsia="仿宋"/>
                <w:color w:val="auto"/>
                <w:sz w:val="21"/>
                <w:highlight w:val="none"/>
              </w:rPr>
            </w:pPr>
            <w:r>
              <w:rPr>
                <w:rFonts w:eastAsia="仿宋"/>
                <w:color w:val="auto"/>
                <w:sz w:val="21"/>
                <w:highlight w:val="none"/>
              </w:rPr>
              <w:t>剪力墙</w:t>
            </w:r>
          </w:p>
        </w:tc>
        <w:tc>
          <w:tcPr>
            <w:tcW w:w="453" w:type="pct"/>
            <w:vAlign w:val="center"/>
          </w:tcPr>
          <w:p>
            <w:pPr>
              <w:pStyle w:val="52"/>
              <w:rPr>
                <w:rFonts w:eastAsia="仿宋"/>
                <w:color w:val="auto"/>
                <w:sz w:val="21"/>
                <w:highlight w:val="none"/>
              </w:rPr>
            </w:pPr>
            <w:r>
              <w:rPr>
                <w:rFonts w:eastAsia="仿宋"/>
                <w:color w:val="auto"/>
                <w:sz w:val="21"/>
                <w:highlight w:val="none"/>
              </w:rPr>
              <w:t>四</w:t>
            </w:r>
          </w:p>
        </w:tc>
        <w:tc>
          <w:tcPr>
            <w:tcW w:w="327" w:type="pct"/>
            <w:gridSpan w:val="3"/>
            <w:vAlign w:val="center"/>
          </w:tcPr>
          <w:p>
            <w:pPr>
              <w:pStyle w:val="52"/>
              <w:rPr>
                <w:rFonts w:eastAsia="仿宋"/>
                <w:color w:val="auto"/>
                <w:sz w:val="21"/>
                <w:highlight w:val="none"/>
              </w:rPr>
            </w:pPr>
            <w:r>
              <w:rPr>
                <w:rFonts w:eastAsia="仿宋"/>
                <w:color w:val="auto"/>
                <w:sz w:val="21"/>
                <w:highlight w:val="none"/>
              </w:rPr>
              <w:t>三</w:t>
            </w:r>
          </w:p>
        </w:tc>
        <w:tc>
          <w:tcPr>
            <w:tcW w:w="400" w:type="pct"/>
            <w:vAlign w:val="center"/>
          </w:tcPr>
          <w:p>
            <w:pPr>
              <w:pStyle w:val="52"/>
              <w:rPr>
                <w:rFonts w:eastAsia="仿宋"/>
                <w:color w:val="auto"/>
                <w:sz w:val="21"/>
                <w:highlight w:val="none"/>
              </w:rPr>
            </w:pPr>
            <w:r>
              <w:rPr>
                <w:rFonts w:eastAsia="仿宋"/>
                <w:color w:val="auto"/>
                <w:sz w:val="21"/>
                <w:highlight w:val="none"/>
              </w:rPr>
              <w:t>二</w:t>
            </w:r>
          </w:p>
        </w:tc>
        <w:tc>
          <w:tcPr>
            <w:tcW w:w="333" w:type="pct"/>
            <w:vAlign w:val="center"/>
          </w:tcPr>
          <w:p>
            <w:pPr>
              <w:pStyle w:val="52"/>
              <w:rPr>
                <w:rFonts w:eastAsia="仿宋"/>
                <w:color w:val="auto"/>
                <w:sz w:val="21"/>
                <w:highlight w:val="none"/>
              </w:rPr>
            </w:pPr>
            <w:r>
              <w:rPr>
                <w:rFonts w:eastAsia="仿宋"/>
                <w:color w:val="auto"/>
                <w:sz w:val="21"/>
                <w:highlight w:val="none"/>
              </w:rPr>
              <w:t>三</w:t>
            </w:r>
          </w:p>
        </w:tc>
        <w:tc>
          <w:tcPr>
            <w:tcW w:w="321" w:type="pct"/>
            <w:gridSpan w:val="2"/>
            <w:vAlign w:val="center"/>
          </w:tcPr>
          <w:p>
            <w:pPr>
              <w:pStyle w:val="52"/>
              <w:rPr>
                <w:rFonts w:eastAsia="仿宋"/>
                <w:color w:val="auto"/>
                <w:sz w:val="21"/>
                <w:highlight w:val="none"/>
              </w:rPr>
            </w:pPr>
            <w:r>
              <w:rPr>
                <w:rFonts w:eastAsia="仿宋"/>
                <w:color w:val="auto"/>
                <w:sz w:val="21"/>
                <w:highlight w:val="none"/>
              </w:rPr>
              <w:t>二</w:t>
            </w:r>
          </w:p>
        </w:tc>
        <w:tc>
          <w:tcPr>
            <w:tcW w:w="442" w:type="pct"/>
            <w:gridSpan w:val="2"/>
            <w:vAlign w:val="center"/>
          </w:tcPr>
          <w:p>
            <w:pPr>
              <w:pStyle w:val="52"/>
              <w:rPr>
                <w:rFonts w:eastAsia="仿宋"/>
                <w:color w:val="auto"/>
                <w:sz w:val="21"/>
                <w:highlight w:val="none"/>
              </w:rPr>
            </w:pPr>
            <w:r>
              <w:rPr>
                <w:rFonts w:eastAsia="仿宋"/>
                <w:color w:val="auto"/>
                <w:sz w:val="21"/>
                <w:highlight w:val="none"/>
              </w:rPr>
              <w:t>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4" w:type="pct"/>
            <w:vMerge w:val="continue"/>
            <w:vAlign w:val="center"/>
          </w:tcPr>
          <w:p>
            <w:pPr>
              <w:pStyle w:val="52"/>
              <w:rPr>
                <w:rFonts w:eastAsia="仿宋"/>
                <w:color w:val="auto"/>
                <w:sz w:val="21"/>
                <w:highlight w:val="none"/>
              </w:rPr>
            </w:pPr>
          </w:p>
        </w:tc>
        <w:tc>
          <w:tcPr>
            <w:tcW w:w="597" w:type="pct"/>
            <w:vMerge w:val="continue"/>
            <w:vAlign w:val="center"/>
          </w:tcPr>
          <w:p>
            <w:pPr>
              <w:pStyle w:val="52"/>
              <w:rPr>
                <w:rFonts w:eastAsia="仿宋"/>
                <w:color w:val="auto"/>
                <w:sz w:val="21"/>
                <w:highlight w:val="none"/>
              </w:rPr>
            </w:pPr>
          </w:p>
        </w:tc>
        <w:tc>
          <w:tcPr>
            <w:tcW w:w="663" w:type="pct"/>
            <w:vMerge w:val="restart"/>
            <w:vAlign w:val="center"/>
          </w:tcPr>
          <w:p>
            <w:pPr>
              <w:pStyle w:val="52"/>
              <w:snapToGrid w:val="0"/>
              <w:rPr>
                <w:rFonts w:eastAsia="仿宋"/>
                <w:color w:val="auto"/>
                <w:sz w:val="21"/>
                <w:highlight w:val="none"/>
              </w:rPr>
            </w:pPr>
            <w:r>
              <w:rPr>
                <w:rFonts w:eastAsia="仿宋"/>
                <w:color w:val="auto"/>
                <w:sz w:val="21"/>
                <w:highlight w:val="none"/>
              </w:rPr>
              <w:t>部分框支</w:t>
            </w:r>
          </w:p>
          <w:p>
            <w:pPr>
              <w:pStyle w:val="52"/>
              <w:snapToGrid w:val="0"/>
              <w:rPr>
                <w:rFonts w:eastAsia="仿宋"/>
                <w:color w:val="auto"/>
                <w:sz w:val="21"/>
                <w:highlight w:val="none"/>
              </w:rPr>
            </w:pPr>
            <w:r>
              <w:rPr>
                <w:rFonts w:eastAsia="仿宋"/>
                <w:color w:val="auto"/>
                <w:sz w:val="21"/>
                <w:highlight w:val="none"/>
              </w:rPr>
              <w:t>剪力墙</w:t>
            </w:r>
          </w:p>
        </w:tc>
        <w:tc>
          <w:tcPr>
            <w:tcW w:w="971" w:type="pct"/>
            <w:gridSpan w:val="2"/>
            <w:vAlign w:val="center"/>
          </w:tcPr>
          <w:p>
            <w:pPr>
              <w:pStyle w:val="52"/>
              <w:snapToGrid w:val="0"/>
              <w:rPr>
                <w:rFonts w:eastAsia="仿宋"/>
                <w:color w:val="auto"/>
                <w:sz w:val="21"/>
                <w:highlight w:val="none"/>
              </w:rPr>
            </w:pPr>
            <w:r>
              <w:rPr>
                <w:rFonts w:eastAsia="仿宋"/>
                <w:color w:val="auto"/>
                <w:sz w:val="21"/>
                <w:highlight w:val="none"/>
              </w:rPr>
              <w:t>高度</w:t>
            </w:r>
          </w:p>
        </w:tc>
        <w:tc>
          <w:tcPr>
            <w:tcW w:w="453" w:type="pct"/>
            <w:vAlign w:val="center"/>
          </w:tcPr>
          <w:p>
            <w:pPr>
              <w:pStyle w:val="52"/>
              <w:rPr>
                <w:rFonts w:eastAsia="仿宋"/>
                <w:color w:val="auto"/>
                <w:sz w:val="21"/>
                <w:highlight w:val="none"/>
              </w:rPr>
            </w:pPr>
            <w:r>
              <w:rPr>
                <w:rFonts w:eastAsia="仿宋"/>
                <w:color w:val="auto"/>
                <w:sz w:val="21"/>
                <w:highlight w:val="none"/>
              </w:rPr>
              <w:t>≤24</w:t>
            </w:r>
          </w:p>
        </w:tc>
        <w:tc>
          <w:tcPr>
            <w:tcW w:w="327" w:type="pct"/>
            <w:gridSpan w:val="3"/>
            <w:vAlign w:val="center"/>
          </w:tcPr>
          <w:p>
            <w:pPr>
              <w:pStyle w:val="52"/>
              <w:rPr>
                <w:rFonts w:eastAsia="仿宋"/>
                <w:color w:val="auto"/>
                <w:sz w:val="21"/>
                <w:highlight w:val="none"/>
              </w:rPr>
            </w:pPr>
            <w:r>
              <w:rPr>
                <w:rFonts w:eastAsia="仿宋"/>
                <w:color w:val="auto"/>
                <w:sz w:val="21"/>
                <w:highlight w:val="none"/>
              </w:rPr>
              <w:t>25~80</w:t>
            </w:r>
          </w:p>
        </w:tc>
        <w:tc>
          <w:tcPr>
            <w:tcW w:w="400" w:type="pct"/>
            <w:vAlign w:val="center"/>
          </w:tcPr>
          <w:p>
            <w:pPr>
              <w:pStyle w:val="52"/>
              <w:rPr>
                <w:rFonts w:eastAsia="仿宋"/>
                <w:color w:val="auto"/>
                <w:sz w:val="21"/>
                <w:highlight w:val="none"/>
              </w:rPr>
            </w:pPr>
            <w:r>
              <w:rPr>
                <w:rFonts w:eastAsia="仿宋"/>
                <w:color w:val="auto"/>
                <w:sz w:val="21"/>
                <w:highlight w:val="none"/>
              </w:rPr>
              <w:t>＞80</w:t>
            </w:r>
          </w:p>
        </w:tc>
        <w:tc>
          <w:tcPr>
            <w:tcW w:w="333" w:type="pct"/>
            <w:vAlign w:val="center"/>
          </w:tcPr>
          <w:p>
            <w:pPr>
              <w:pStyle w:val="52"/>
              <w:rPr>
                <w:rFonts w:eastAsia="仿宋"/>
                <w:color w:val="auto"/>
                <w:sz w:val="21"/>
                <w:highlight w:val="none"/>
              </w:rPr>
            </w:pPr>
            <w:r>
              <w:rPr>
                <w:rFonts w:eastAsia="仿宋"/>
                <w:color w:val="auto"/>
                <w:sz w:val="21"/>
                <w:highlight w:val="none"/>
              </w:rPr>
              <w:t>≤24</w:t>
            </w:r>
          </w:p>
        </w:tc>
        <w:tc>
          <w:tcPr>
            <w:tcW w:w="321" w:type="pct"/>
            <w:gridSpan w:val="2"/>
            <w:vAlign w:val="center"/>
          </w:tcPr>
          <w:p>
            <w:pPr>
              <w:pStyle w:val="52"/>
              <w:rPr>
                <w:rFonts w:eastAsia="仿宋"/>
                <w:color w:val="auto"/>
                <w:sz w:val="21"/>
                <w:highlight w:val="none"/>
              </w:rPr>
            </w:pPr>
            <w:r>
              <w:rPr>
                <w:rFonts w:eastAsia="仿宋"/>
                <w:color w:val="auto"/>
                <w:sz w:val="21"/>
                <w:highlight w:val="none"/>
              </w:rPr>
              <w:t>25~80</w:t>
            </w:r>
          </w:p>
        </w:tc>
        <w:tc>
          <w:tcPr>
            <w:tcW w:w="442" w:type="pct"/>
            <w:gridSpan w:val="2"/>
            <w:vMerge w:val="restart"/>
            <w:vAlign w:val="center"/>
          </w:tcPr>
          <w:p>
            <w:pPr>
              <w:pStyle w:val="52"/>
              <w:rPr>
                <w:rFonts w:eastAsia="仿宋"/>
                <w:color w:val="auto"/>
                <w:sz w:val="21"/>
                <w:highlight w:val="none"/>
              </w:rPr>
            </w:pPr>
            <w:r>
              <w:rPr>
                <w:rFonts w:eastAsia="仿宋"/>
                <w:color w:val="auto"/>
                <w:sz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4" w:type="pct"/>
            <w:vMerge w:val="continue"/>
            <w:vAlign w:val="center"/>
          </w:tcPr>
          <w:p>
            <w:pPr>
              <w:pStyle w:val="52"/>
              <w:rPr>
                <w:rFonts w:eastAsia="仿宋"/>
                <w:color w:val="auto"/>
                <w:sz w:val="21"/>
                <w:highlight w:val="none"/>
              </w:rPr>
            </w:pPr>
          </w:p>
        </w:tc>
        <w:tc>
          <w:tcPr>
            <w:tcW w:w="597" w:type="pct"/>
            <w:vMerge w:val="continue"/>
            <w:vAlign w:val="center"/>
          </w:tcPr>
          <w:p>
            <w:pPr>
              <w:pStyle w:val="52"/>
              <w:rPr>
                <w:rFonts w:eastAsia="仿宋"/>
                <w:color w:val="auto"/>
                <w:sz w:val="21"/>
                <w:highlight w:val="none"/>
              </w:rPr>
            </w:pPr>
          </w:p>
        </w:tc>
        <w:tc>
          <w:tcPr>
            <w:tcW w:w="663" w:type="pct"/>
            <w:vMerge w:val="continue"/>
            <w:vAlign w:val="center"/>
          </w:tcPr>
          <w:p>
            <w:pPr>
              <w:pStyle w:val="52"/>
              <w:rPr>
                <w:rFonts w:eastAsia="仿宋"/>
                <w:color w:val="auto"/>
                <w:sz w:val="21"/>
                <w:highlight w:val="none"/>
              </w:rPr>
            </w:pPr>
          </w:p>
        </w:tc>
        <w:tc>
          <w:tcPr>
            <w:tcW w:w="971" w:type="pct"/>
            <w:gridSpan w:val="2"/>
            <w:vAlign w:val="center"/>
          </w:tcPr>
          <w:p>
            <w:pPr>
              <w:snapToGrid w:val="0"/>
              <w:jc w:val="center"/>
              <w:rPr>
                <w:rFonts w:eastAsia="仿宋"/>
                <w:color w:val="auto"/>
                <w:szCs w:val="21"/>
                <w:highlight w:val="none"/>
              </w:rPr>
            </w:pPr>
            <w:r>
              <w:rPr>
                <w:rFonts w:eastAsia="仿宋"/>
                <w:color w:val="auto"/>
                <w:kern w:val="0"/>
                <w:szCs w:val="21"/>
                <w:highlight w:val="none"/>
              </w:rPr>
              <w:t>框支框架</w:t>
            </w:r>
          </w:p>
        </w:tc>
        <w:tc>
          <w:tcPr>
            <w:tcW w:w="779" w:type="pct"/>
            <w:gridSpan w:val="4"/>
            <w:vAlign w:val="center"/>
          </w:tcPr>
          <w:p>
            <w:pPr>
              <w:pStyle w:val="52"/>
              <w:rPr>
                <w:rFonts w:eastAsia="仿宋"/>
                <w:color w:val="auto"/>
                <w:sz w:val="21"/>
                <w:highlight w:val="none"/>
              </w:rPr>
            </w:pPr>
            <w:r>
              <w:rPr>
                <w:rFonts w:eastAsia="仿宋"/>
                <w:color w:val="auto"/>
                <w:sz w:val="21"/>
                <w:highlight w:val="none"/>
              </w:rPr>
              <w:t>二</w:t>
            </w:r>
          </w:p>
        </w:tc>
        <w:tc>
          <w:tcPr>
            <w:tcW w:w="400" w:type="pct"/>
            <w:vAlign w:val="center"/>
          </w:tcPr>
          <w:p>
            <w:pPr>
              <w:pStyle w:val="52"/>
              <w:rPr>
                <w:rFonts w:eastAsia="仿宋"/>
                <w:color w:val="auto"/>
                <w:sz w:val="21"/>
                <w:highlight w:val="none"/>
              </w:rPr>
            </w:pPr>
            <w:r>
              <w:rPr>
                <w:rFonts w:eastAsia="仿宋"/>
                <w:color w:val="auto"/>
                <w:sz w:val="21"/>
                <w:highlight w:val="none"/>
              </w:rPr>
              <w:t>一</w:t>
            </w:r>
          </w:p>
        </w:tc>
        <w:tc>
          <w:tcPr>
            <w:tcW w:w="654" w:type="pct"/>
            <w:gridSpan w:val="3"/>
            <w:vAlign w:val="center"/>
          </w:tcPr>
          <w:p>
            <w:pPr>
              <w:pStyle w:val="52"/>
              <w:rPr>
                <w:rFonts w:eastAsia="仿宋"/>
                <w:color w:val="auto"/>
                <w:sz w:val="21"/>
                <w:highlight w:val="none"/>
              </w:rPr>
            </w:pPr>
            <w:r>
              <w:rPr>
                <w:rFonts w:eastAsia="仿宋"/>
                <w:color w:val="auto"/>
                <w:sz w:val="21"/>
                <w:highlight w:val="none"/>
              </w:rPr>
              <w:t>一</w:t>
            </w:r>
          </w:p>
        </w:tc>
        <w:tc>
          <w:tcPr>
            <w:tcW w:w="442" w:type="pct"/>
            <w:gridSpan w:val="2"/>
            <w:vMerge w:val="continue"/>
            <w:vAlign w:val="center"/>
          </w:tcPr>
          <w:p>
            <w:pPr>
              <w:pStyle w:val="52"/>
              <w:rPr>
                <w:rFonts w:eastAsia="仿宋"/>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4" w:type="pct"/>
            <w:vMerge w:val="continue"/>
            <w:vAlign w:val="center"/>
          </w:tcPr>
          <w:p>
            <w:pPr>
              <w:pStyle w:val="52"/>
              <w:rPr>
                <w:rFonts w:eastAsia="仿宋"/>
                <w:color w:val="auto"/>
                <w:sz w:val="21"/>
                <w:highlight w:val="none"/>
              </w:rPr>
            </w:pPr>
          </w:p>
        </w:tc>
        <w:tc>
          <w:tcPr>
            <w:tcW w:w="597" w:type="pct"/>
            <w:vMerge w:val="continue"/>
            <w:vAlign w:val="center"/>
          </w:tcPr>
          <w:p>
            <w:pPr>
              <w:pStyle w:val="52"/>
              <w:rPr>
                <w:rFonts w:eastAsia="仿宋"/>
                <w:color w:val="auto"/>
                <w:sz w:val="21"/>
                <w:highlight w:val="none"/>
              </w:rPr>
            </w:pPr>
          </w:p>
        </w:tc>
        <w:tc>
          <w:tcPr>
            <w:tcW w:w="663" w:type="pct"/>
            <w:vMerge w:val="continue"/>
            <w:vAlign w:val="center"/>
          </w:tcPr>
          <w:p>
            <w:pPr>
              <w:pStyle w:val="52"/>
              <w:rPr>
                <w:rFonts w:eastAsia="仿宋"/>
                <w:color w:val="auto"/>
                <w:sz w:val="21"/>
                <w:highlight w:val="none"/>
              </w:rPr>
            </w:pPr>
          </w:p>
        </w:tc>
        <w:tc>
          <w:tcPr>
            <w:tcW w:w="445" w:type="pct"/>
            <w:vMerge w:val="restart"/>
            <w:vAlign w:val="center"/>
          </w:tcPr>
          <w:p>
            <w:pPr>
              <w:snapToGrid w:val="0"/>
              <w:jc w:val="center"/>
              <w:rPr>
                <w:rFonts w:eastAsia="仿宋"/>
                <w:color w:val="auto"/>
                <w:szCs w:val="21"/>
                <w:highlight w:val="none"/>
              </w:rPr>
            </w:pPr>
            <w:r>
              <w:rPr>
                <w:rFonts w:eastAsia="仿宋"/>
                <w:color w:val="auto"/>
                <w:kern w:val="0"/>
                <w:szCs w:val="21"/>
                <w:highlight w:val="none"/>
              </w:rPr>
              <w:t>剪力墙</w:t>
            </w:r>
          </w:p>
        </w:tc>
        <w:tc>
          <w:tcPr>
            <w:tcW w:w="526" w:type="pct"/>
            <w:vAlign w:val="center"/>
          </w:tcPr>
          <w:p>
            <w:pPr>
              <w:pStyle w:val="52"/>
              <w:snapToGrid w:val="0"/>
              <w:rPr>
                <w:rFonts w:eastAsia="仿宋"/>
                <w:color w:val="auto"/>
                <w:sz w:val="21"/>
                <w:highlight w:val="none"/>
              </w:rPr>
            </w:pPr>
            <w:r>
              <w:rPr>
                <w:rFonts w:eastAsia="仿宋"/>
                <w:color w:val="auto"/>
                <w:sz w:val="21"/>
                <w:highlight w:val="none"/>
              </w:rPr>
              <w:t>加强</w:t>
            </w:r>
          </w:p>
          <w:p>
            <w:pPr>
              <w:pStyle w:val="52"/>
              <w:snapToGrid w:val="0"/>
              <w:rPr>
                <w:rFonts w:eastAsia="仿宋"/>
                <w:color w:val="auto"/>
                <w:sz w:val="21"/>
                <w:highlight w:val="none"/>
              </w:rPr>
            </w:pPr>
            <w:r>
              <w:rPr>
                <w:rFonts w:eastAsia="仿宋"/>
                <w:color w:val="auto"/>
                <w:sz w:val="21"/>
                <w:highlight w:val="none"/>
              </w:rPr>
              <w:t>部位</w:t>
            </w:r>
          </w:p>
        </w:tc>
        <w:tc>
          <w:tcPr>
            <w:tcW w:w="453" w:type="pct"/>
            <w:vAlign w:val="center"/>
          </w:tcPr>
          <w:p>
            <w:pPr>
              <w:pStyle w:val="52"/>
              <w:rPr>
                <w:rFonts w:eastAsia="仿宋"/>
                <w:color w:val="auto"/>
                <w:sz w:val="21"/>
                <w:highlight w:val="none"/>
              </w:rPr>
            </w:pPr>
            <w:r>
              <w:rPr>
                <w:rFonts w:eastAsia="仿宋"/>
                <w:color w:val="auto"/>
                <w:sz w:val="21"/>
                <w:highlight w:val="none"/>
              </w:rPr>
              <w:t>三</w:t>
            </w:r>
          </w:p>
        </w:tc>
        <w:tc>
          <w:tcPr>
            <w:tcW w:w="327" w:type="pct"/>
            <w:gridSpan w:val="3"/>
            <w:vAlign w:val="center"/>
          </w:tcPr>
          <w:p>
            <w:pPr>
              <w:pStyle w:val="52"/>
              <w:rPr>
                <w:rFonts w:eastAsia="仿宋"/>
                <w:color w:val="auto"/>
                <w:sz w:val="21"/>
                <w:highlight w:val="none"/>
              </w:rPr>
            </w:pPr>
            <w:r>
              <w:rPr>
                <w:rFonts w:eastAsia="仿宋"/>
                <w:color w:val="auto"/>
                <w:sz w:val="21"/>
                <w:highlight w:val="none"/>
              </w:rPr>
              <w:t>二</w:t>
            </w:r>
          </w:p>
        </w:tc>
        <w:tc>
          <w:tcPr>
            <w:tcW w:w="400" w:type="pct"/>
            <w:vAlign w:val="center"/>
          </w:tcPr>
          <w:p>
            <w:pPr>
              <w:pStyle w:val="52"/>
              <w:rPr>
                <w:rFonts w:eastAsia="仿宋"/>
                <w:color w:val="auto"/>
                <w:sz w:val="21"/>
                <w:highlight w:val="none"/>
              </w:rPr>
            </w:pPr>
            <w:r>
              <w:rPr>
                <w:rFonts w:eastAsia="仿宋"/>
                <w:color w:val="auto"/>
                <w:sz w:val="21"/>
                <w:highlight w:val="none"/>
              </w:rPr>
              <w:t>一</w:t>
            </w:r>
          </w:p>
        </w:tc>
        <w:tc>
          <w:tcPr>
            <w:tcW w:w="333" w:type="pct"/>
            <w:vAlign w:val="center"/>
          </w:tcPr>
          <w:p>
            <w:pPr>
              <w:pStyle w:val="52"/>
              <w:rPr>
                <w:rFonts w:eastAsia="仿宋"/>
                <w:color w:val="auto"/>
                <w:sz w:val="21"/>
                <w:highlight w:val="none"/>
              </w:rPr>
            </w:pPr>
            <w:r>
              <w:rPr>
                <w:rFonts w:eastAsia="仿宋"/>
                <w:color w:val="auto"/>
                <w:sz w:val="21"/>
                <w:highlight w:val="none"/>
              </w:rPr>
              <w:t>二</w:t>
            </w:r>
          </w:p>
        </w:tc>
        <w:tc>
          <w:tcPr>
            <w:tcW w:w="321" w:type="pct"/>
            <w:gridSpan w:val="2"/>
            <w:vAlign w:val="center"/>
          </w:tcPr>
          <w:p>
            <w:pPr>
              <w:pStyle w:val="52"/>
              <w:rPr>
                <w:rFonts w:eastAsia="仿宋"/>
                <w:color w:val="auto"/>
                <w:sz w:val="21"/>
                <w:highlight w:val="none"/>
              </w:rPr>
            </w:pPr>
            <w:r>
              <w:rPr>
                <w:rFonts w:eastAsia="仿宋"/>
                <w:color w:val="auto"/>
                <w:sz w:val="21"/>
                <w:highlight w:val="none"/>
              </w:rPr>
              <w:t>一</w:t>
            </w:r>
          </w:p>
        </w:tc>
        <w:tc>
          <w:tcPr>
            <w:tcW w:w="442" w:type="pct"/>
            <w:gridSpan w:val="2"/>
            <w:vMerge w:val="continue"/>
            <w:vAlign w:val="center"/>
          </w:tcPr>
          <w:p>
            <w:pPr>
              <w:pStyle w:val="52"/>
              <w:rPr>
                <w:rFonts w:eastAsia="仿宋"/>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4" w:type="pct"/>
            <w:vMerge w:val="continue"/>
            <w:vAlign w:val="center"/>
          </w:tcPr>
          <w:p>
            <w:pPr>
              <w:pStyle w:val="52"/>
              <w:rPr>
                <w:rFonts w:eastAsia="仿宋"/>
                <w:color w:val="auto"/>
                <w:sz w:val="21"/>
                <w:highlight w:val="none"/>
              </w:rPr>
            </w:pPr>
          </w:p>
        </w:tc>
        <w:tc>
          <w:tcPr>
            <w:tcW w:w="597" w:type="pct"/>
            <w:vMerge w:val="continue"/>
            <w:vAlign w:val="center"/>
          </w:tcPr>
          <w:p>
            <w:pPr>
              <w:pStyle w:val="52"/>
              <w:rPr>
                <w:rFonts w:eastAsia="仿宋"/>
                <w:color w:val="auto"/>
                <w:sz w:val="21"/>
                <w:highlight w:val="none"/>
              </w:rPr>
            </w:pPr>
          </w:p>
        </w:tc>
        <w:tc>
          <w:tcPr>
            <w:tcW w:w="663" w:type="pct"/>
            <w:vMerge w:val="continue"/>
            <w:vAlign w:val="center"/>
          </w:tcPr>
          <w:p>
            <w:pPr>
              <w:pStyle w:val="52"/>
              <w:rPr>
                <w:rFonts w:eastAsia="仿宋"/>
                <w:color w:val="auto"/>
                <w:sz w:val="21"/>
                <w:highlight w:val="none"/>
              </w:rPr>
            </w:pPr>
          </w:p>
        </w:tc>
        <w:tc>
          <w:tcPr>
            <w:tcW w:w="445" w:type="pct"/>
            <w:vMerge w:val="continue"/>
            <w:vAlign w:val="center"/>
          </w:tcPr>
          <w:p>
            <w:pPr>
              <w:pStyle w:val="52"/>
              <w:snapToGrid w:val="0"/>
              <w:rPr>
                <w:rFonts w:eastAsia="仿宋"/>
                <w:color w:val="auto"/>
                <w:sz w:val="21"/>
                <w:highlight w:val="none"/>
              </w:rPr>
            </w:pPr>
          </w:p>
        </w:tc>
        <w:tc>
          <w:tcPr>
            <w:tcW w:w="526" w:type="pct"/>
            <w:vAlign w:val="center"/>
          </w:tcPr>
          <w:p>
            <w:pPr>
              <w:pStyle w:val="52"/>
              <w:snapToGrid w:val="0"/>
              <w:rPr>
                <w:rFonts w:eastAsia="仿宋"/>
                <w:color w:val="auto"/>
                <w:sz w:val="21"/>
                <w:highlight w:val="none"/>
              </w:rPr>
            </w:pPr>
            <w:r>
              <w:rPr>
                <w:rFonts w:eastAsia="仿宋"/>
                <w:color w:val="auto"/>
                <w:sz w:val="21"/>
                <w:highlight w:val="none"/>
              </w:rPr>
              <w:t>一般</w:t>
            </w:r>
          </w:p>
          <w:p>
            <w:pPr>
              <w:pStyle w:val="52"/>
              <w:snapToGrid w:val="0"/>
              <w:rPr>
                <w:rFonts w:eastAsia="仿宋"/>
                <w:color w:val="auto"/>
                <w:sz w:val="21"/>
                <w:highlight w:val="none"/>
              </w:rPr>
            </w:pPr>
            <w:r>
              <w:rPr>
                <w:rFonts w:eastAsia="仿宋"/>
                <w:color w:val="auto"/>
                <w:sz w:val="21"/>
                <w:highlight w:val="none"/>
              </w:rPr>
              <w:t>部位</w:t>
            </w:r>
          </w:p>
        </w:tc>
        <w:tc>
          <w:tcPr>
            <w:tcW w:w="453" w:type="pct"/>
            <w:vAlign w:val="center"/>
          </w:tcPr>
          <w:p>
            <w:pPr>
              <w:pStyle w:val="52"/>
              <w:rPr>
                <w:rFonts w:eastAsia="仿宋"/>
                <w:color w:val="auto"/>
                <w:sz w:val="21"/>
                <w:highlight w:val="none"/>
              </w:rPr>
            </w:pPr>
            <w:r>
              <w:rPr>
                <w:rFonts w:eastAsia="仿宋"/>
                <w:color w:val="auto"/>
                <w:sz w:val="21"/>
                <w:highlight w:val="none"/>
              </w:rPr>
              <w:t>四</w:t>
            </w:r>
          </w:p>
        </w:tc>
        <w:tc>
          <w:tcPr>
            <w:tcW w:w="327" w:type="pct"/>
            <w:gridSpan w:val="3"/>
            <w:vAlign w:val="center"/>
          </w:tcPr>
          <w:p>
            <w:pPr>
              <w:pStyle w:val="52"/>
              <w:rPr>
                <w:rFonts w:eastAsia="仿宋"/>
                <w:color w:val="auto"/>
                <w:sz w:val="21"/>
                <w:highlight w:val="none"/>
              </w:rPr>
            </w:pPr>
            <w:r>
              <w:rPr>
                <w:rFonts w:eastAsia="仿宋"/>
                <w:color w:val="auto"/>
                <w:sz w:val="21"/>
                <w:highlight w:val="none"/>
              </w:rPr>
              <w:t>三</w:t>
            </w:r>
          </w:p>
        </w:tc>
        <w:tc>
          <w:tcPr>
            <w:tcW w:w="400" w:type="pct"/>
            <w:vAlign w:val="center"/>
          </w:tcPr>
          <w:p>
            <w:pPr>
              <w:pStyle w:val="52"/>
              <w:rPr>
                <w:rFonts w:eastAsia="仿宋"/>
                <w:color w:val="auto"/>
                <w:sz w:val="21"/>
                <w:highlight w:val="none"/>
              </w:rPr>
            </w:pPr>
            <w:r>
              <w:rPr>
                <w:rFonts w:eastAsia="仿宋"/>
                <w:color w:val="auto"/>
                <w:sz w:val="21"/>
                <w:highlight w:val="none"/>
              </w:rPr>
              <w:t>二</w:t>
            </w:r>
          </w:p>
        </w:tc>
        <w:tc>
          <w:tcPr>
            <w:tcW w:w="333" w:type="pct"/>
            <w:vAlign w:val="center"/>
          </w:tcPr>
          <w:p>
            <w:pPr>
              <w:pStyle w:val="52"/>
              <w:rPr>
                <w:rFonts w:eastAsia="仿宋"/>
                <w:color w:val="auto"/>
                <w:sz w:val="21"/>
                <w:highlight w:val="none"/>
              </w:rPr>
            </w:pPr>
            <w:r>
              <w:rPr>
                <w:rFonts w:eastAsia="仿宋"/>
                <w:color w:val="auto"/>
                <w:sz w:val="21"/>
                <w:highlight w:val="none"/>
              </w:rPr>
              <w:t>三</w:t>
            </w:r>
          </w:p>
        </w:tc>
        <w:tc>
          <w:tcPr>
            <w:tcW w:w="321" w:type="pct"/>
            <w:gridSpan w:val="2"/>
            <w:vAlign w:val="center"/>
          </w:tcPr>
          <w:p>
            <w:pPr>
              <w:pStyle w:val="52"/>
              <w:rPr>
                <w:rFonts w:eastAsia="仿宋"/>
                <w:color w:val="auto"/>
                <w:sz w:val="21"/>
                <w:highlight w:val="none"/>
              </w:rPr>
            </w:pPr>
            <w:r>
              <w:rPr>
                <w:rFonts w:eastAsia="仿宋"/>
                <w:color w:val="auto"/>
                <w:sz w:val="21"/>
                <w:highlight w:val="none"/>
              </w:rPr>
              <w:t>二</w:t>
            </w:r>
          </w:p>
        </w:tc>
        <w:tc>
          <w:tcPr>
            <w:tcW w:w="442" w:type="pct"/>
            <w:gridSpan w:val="2"/>
            <w:vMerge w:val="continue"/>
            <w:vAlign w:val="center"/>
          </w:tcPr>
          <w:p>
            <w:pPr>
              <w:pStyle w:val="52"/>
              <w:rPr>
                <w:rFonts w:eastAsia="仿宋"/>
                <w:color w:val="auto"/>
                <w:sz w:val="21"/>
                <w:highlight w:val="none"/>
              </w:rPr>
            </w:pPr>
          </w:p>
        </w:tc>
      </w:tr>
    </w:tbl>
    <w:p>
      <w:pPr>
        <w:pStyle w:val="56"/>
        <w:ind w:firstLine="360" w:firstLineChars="200"/>
        <w:rPr>
          <w:rFonts w:eastAsia="仿宋"/>
          <w:color w:val="auto"/>
          <w:sz w:val="18"/>
          <w:szCs w:val="18"/>
          <w:highlight w:val="none"/>
        </w:rPr>
      </w:pPr>
      <w:r>
        <w:rPr>
          <w:rFonts w:eastAsia="仿宋"/>
          <w:color w:val="auto"/>
          <w:sz w:val="18"/>
          <w:szCs w:val="18"/>
          <w:highlight w:val="none"/>
        </w:rPr>
        <w:t>注：1房屋高度指室外地面至主要屋面板板顶高度（不包括局部突出屋顶各部分）。</w:t>
      </w:r>
    </w:p>
    <w:p>
      <w:pPr>
        <w:pStyle w:val="5"/>
        <w:rPr>
          <w:color w:val="auto"/>
          <w:highlight w:val="none"/>
        </w:rPr>
      </w:pPr>
      <w:bookmarkStart w:id="422" w:name="_Toc22"/>
      <w:bookmarkStart w:id="423" w:name="_Toc9842"/>
      <w:r>
        <w:rPr>
          <w:b/>
          <w:bCs w:val="0"/>
          <w:color w:val="auto"/>
          <w:highlight w:val="none"/>
        </w:rPr>
        <w:t>I</w:t>
      </w:r>
      <w:r>
        <w:rPr>
          <w:color w:val="auto"/>
          <w:highlight w:val="none"/>
        </w:rPr>
        <w:t xml:space="preserve">  </w:t>
      </w:r>
      <w:r>
        <w:rPr>
          <w:rFonts w:hint="eastAsia"/>
          <w:color w:val="auto"/>
          <w:highlight w:val="none"/>
        </w:rPr>
        <w:t>模块化框架结构</w:t>
      </w:r>
      <w:bookmarkEnd w:id="422"/>
      <w:bookmarkEnd w:id="423"/>
    </w:p>
    <w:p>
      <w:pPr>
        <w:numPr>
          <w:ilvl w:val="0"/>
          <w:numId w:val="11"/>
        </w:numPr>
        <w:rPr>
          <w:bCs/>
          <w:color w:val="auto"/>
          <w:highlight w:val="none"/>
        </w:rPr>
      </w:pPr>
      <w:r>
        <w:rPr>
          <w:rFonts w:hint="eastAsia"/>
          <w:bCs/>
          <w:color w:val="auto"/>
          <w:highlight w:val="none"/>
        </w:rPr>
        <w:t>模块化框架结构应由框架式模块堆叠连接组合而成，并应符合下列规定：</w:t>
      </w:r>
    </w:p>
    <w:p>
      <w:pPr>
        <w:ind w:firstLine="421" w:firstLineChars="200"/>
        <w:rPr>
          <w:color w:val="auto"/>
          <w:kern w:val="0"/>
          <w:szCs w:val="24"/>
          <w:highlight w:val="none"/>
        </w:rPr>
      </w:pPr>
      <w:r>
        <w:rPr>
          <w:rFonts w:hint="eastAsia"/>
          <w:b/>
          <w:color w:val="auto"/>
          <w:kern w:val="0"/>
          <w:szCs w:val="24"/>
          <w:highlight w:val="none"/>
        </w:rPr>
        <w:t>1</w:t>
      </w:r>
      <w:r>
        <w:rPr>
          <w:rFonts w:hint="eastAsia"/>
          <w:color w:val="auto"/>
          <w:kern w:val="0"/>
          <w:szCs w:val="24"/>
          <w:highlight w:val="none"/>
        </w:rPr>
        <w:t xml:space="preserve">  模块化框架结构的竖向受力构件为模块单元框架柱，水平受力构件为模块单元框架梁、板；</w:t>
      </w:r>
    </w:p>
    <w:p>
      <w:pPr>
        <w:ind w:firstLine="421" w:firstLineChars="200"/>
        <w:rPr>
          <w:rFonts w:hint="eastAsia" w:eastAsia="宋体"/>
          <w:color w:val="auto"/>
          <w:kern w:val="0"/>
          <w:szCs w:val="24"/>
          <w:highlight w:val="none"/>
          <w:lang w:eastAsia="zh-CN"/>
        </w:rPr>
      </w:pPr>
      <w:r>
        <w:rPr>
          <w:b/>
          <w:color w:val="auto"/>
          <w:kern w:val="0"/>
          <w:szCs w:val="24"/>
          <w:highlight w:val="none"/>
        </w:rPr>
        <w:t>2</w:t>
      </w:r>
      <w:r>
        <w:rPr>
          <w:color w:val="auto"/>
          <w:kern w:val="0"/>
          <w:szCs w:val="24"/>
          <w:highlight w:val="none"/>
        </w:rPr>
        <w:t xml:space="preserve">  </w:t>
      </w:r>
      <w:r>
        <w:rPr>
          <w:rFonts w:hint="eastAsia"/>
          <w:color w:val="auto"/>
          <w:kern w:val="0"/>
          <w:szCs w:val="24"/>
          <w:highlight w:val="none"/>
        </w:rPr>
        <w:t>模块单元应采用可靠的水平及竖向连接，满足结构整体性的要求</w:t>
      </w:r>
      <w:r>
        <w:rPr>
          <w:rFonts w:hint="eastAsia"/>
          <w:color w:val="auto"/>
          <w:kern w:val="0"/>
          <w:szCs w:val="24"/>
          <w:highlight w:val="none"/>
          <w:lang w:eastAsia="zh-CN"/>
        </w:rPr>
        <w:t>。</w:t>
      </w:r>
    </w:p>
    <w:p>
      <w:pPr>
        <w:numPr>
          <w:ilvl w:val="0"/>
          <w:numId w:val="11"/>
        </w:numPr>
        <w:rPr>
          <w:rFonts w:eastAsia="楷体"/>
          <w:color w:val="auto"/>
          <w:highlight w:val="none"/>
        </w:rPr>
      </w:pPr>
      <w:r>
        <w:rPr>
          <w:rFonts w:hint="eastAsia"/>
          <w:bCs/>
          <w:color w:val="auto"/>
          <w:highlight w:val="none"/>
        </w:rPr>
        <w:t>框架式模块单元的竖向连接可采用</w:t>
      </w:r>
      <w:r>
        <w:rPr>
          <w:rFonts w:hint="eastAsia"/>
          <w:bCs/>
          <w:color w:val="auto"/>
          <w:kern w:val="0"/>
          <w:szCs w:val="24"/>
          <w:highlight w:val="none"/>
        </w:rPr>
        <w:t>套筒灌浆、浆锚搭接或其他可靠连接，其连接节点应符合现行行业标准的有关规定，当采用非刚性连接时，应进行论证。</w:t>
      </w:r>
    </w:p>
    <w:tbl>
      <w:tblPr>
        <w:tblStyle w:val="24"/>
        <w:tblW w:w="0" w:type="auto"/>
        <w:tblInd w:w="0" w:type="dxa"/>
        <w:tblLayout w:type="autofit"/>
        <w:tblCellMar>
          <w:top w:w="0" w:type="dxa"/>
          <w:left w:w="108" w:type="dxa"/>
          <w:bottom w:w="0" w:type="dxa"/>
          <w:right w:w="108" w:type="dxa"/>
        </w:tblCellMar>
      </w:tblPr>
      <w:tblGrid>
        <w:gridCol w:w="4740"/>
        <w:gridCol w:w="4740"/>
      </w:tblGrid>
      <w:tr>
        <w:tblPrEx>
          <w:tblCellMar>
            <w:top w:w="0" w:type="dxa"/>
            <w:left w:w="108" w:type="dxa"/>
            <w:bottom w:w="0" w:type="dxa"/>
            <w:right w:w="108" w:type="dxa"/>
          </w:tblCellMar>
        </w:tblPrEx>
        <w:tc>
          <w:tcPr>
            <w:tcW w:w="9480" w:type="dxa"/>
            <w:gridSpan w:val="2"/>
            <w:vAlign w:val="center"/>
          </w:tcPr>
          <w:p>
            <w:pPr>
              <w:tabs>
                <w:tab w:val="left" w:pos="0"/>
              </w:tabs>
              <w:adjustRightInd w:val="0"/>
              <w:snapToGrid w:val="0"/>
              <w:jc w:val="center"/>
              <w:rPr>
                <w:color w:val="auto"/>
                <w:highlight w:val="none"/>
              </w:rPr>
            </w:pPr>
            <w:r>
              <w:rPr>
                <w:color w:val="auto"/>
                <w:highlight w:val="none"/>
              </w:rPr>
              <w:drawing>
                <wp:inline distT="0" distB="0" distL="114300" distR="114300">
                  <wp:extent cx="5384800" cy="2030730"/>
                  <wp:effectExtent l="0" t="0" r="10160" b="1143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30"/>
                          <a:stretch>
                            <a:fillRect/>
                          </a:stretch>
                        </pic:blipFill>
                        <pic:spPr>
                          <a:xfrm>
                            <a:off x="0" y="0"/>
                            <a:ext cx="5384800" cy="2030730"/>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4740" w:type="dxa"/>
            <w:vAlign w:val="center"/>
          </w:tcPr>
          <w:p>
            <w:pPr>
              <w:tabs>
                <w:tab w:val="left" w:pos="0"/>
              </w:tabs>
              <w:jc w:val="center"/>
              <w:rPr>
                <w:rFonts w:eastAsia="仿宋"/>
                <w:bCs/>
                <w:color w:val="auto"/>
                <w:sz w:val="18"/>
                <w:szCs w:val="18"/>
                <w:highlight w:val="none"/>
              </w:rPr>
            </w:pPr>
            <w:r>
              <w:rPr>
                <w:rFonts w:eastAsia="仿宋"/>
                <w:bCs/>
                <w:color w:val="auto"/>
                <w:sz w:val="18"/>
                <w:szCs w:val="18"/>
                <w:highlight w:val="none"/>
              </w:rPr>
              <w:t>(</w:t>
            </w:r>
            <w:r>
              <w:rPr>
                <w:rFonts w:hint="eastAsia" w:eastAsia="仿宋"/>
                <w:bCs/>
                <w:color w:val="auto"/>
                <w:sz w:val="18"/>
                <w:szCs w:val="18"/>
                <w:highlight w:val="none"/>
              </w:rPr>
              <w:t>a</w:t>
            </w:r>
            <w:r>
              <w:rPr>
                <w:rFonts w:eastAsia="仿宋"/>
                <w:bCs/>
                <w:color w:val="auto"/>
                <w:sz w:val="18"/>
                <w:szCs w:val="18"/>
                <w:highlight w:val="none"/>
              </w:rPr>
              <w:t>)  套筒灌浆连接</w:t>
            </w:r>
          </w:p>
        </w:tc>
        <w:tc>
          <w:tcPr>
            <w:tcW w:w="4740" w:type="dxa"/>
            <w:vAlign w:val="center"/>
          </w:tcPr>
          <w:p>
            <w:pPr>
              <w:tabs>
                <w:tab w:val="left" w:pos="0"/>
              </w:tabs>
              <w:jc w:val="center"/>
              <w:rPr>
                <w:rFonts w:eastAsia="仿宋"/>
                <w:bCs/>
                <w:color w:val="auto"/>
                <w:sz w:val="18"/>
                <w:szCs w:val="18"/>
                <w:highlight w:val="none"/>
              </w:rPr>
            </w:pPr>
            <w:r>
              <w:rPr>
                <w:rFonts w:eastAsia="仿宋"/>
                <w:bCs/>
                <w:color w:val="auto"/>
                <w:sz w:val="18"/>
                <w:szCs w:val="18"/>
                <w:highlight w:val="none"/>
              </w:rPr>
              <w:t>(</w:t>
            </w:r>
            <w:r>
              <w:rPr>
                <w:rFonts w:hint="eastAsia" w:eastAsia="仿宋"/>
                <w:bCs/>
                <w:color w:val="auto"/>
                <w:sz w:val="18"/>
                <w:szCs w:val="18"/>
                <w:highlight w:val="none"/>
              </w:rPr>
              <w:t>b</w:t>
            </w:r>
            <w:r>
              <w:rPr>
                <w:rFonts w:eastAsia="仿宋"/>
                <w:bCs/>
                <w:color w:val="auto"/>
                <w:sz w:val="18"/>
                <w:szCs w:val="18"/>
                <w:highlight w:val="none"/>
              </w:rPr>
              <w:t>)  浆锚搭接</w:t>
            </w:r>
          </w:p>
        </w:tc>
      </w:tr>
    </w:tbl>
    <w:p>
      <w:pPr>
        <w:ind w:firstLine="360"/>
        <w:jc w:val="center"/>
        <w:rPr>
          <w:rFonts w:eastAsia="仿宋"/>
          <w:b/>
          <w:color w:val="auto"/>
          <w:szCs w:val="21"/>
          <w:highlight w:val="none"/>
        </w:rPr>
      </w:pPr>
      <w:r>
        <w:rPr>
          <w:rFonts w:eastAsia="仿宋"/>
          <w:b/>
          <w:color w:val="auto"/>
          <w:szCs w:val="21"/>
          <w:highlight w:val="none"/>
        </w:rPr>
        <w:t>图5</w:t>
      </w:r>
      <w:r>
        <w:rPr>
          <w:rFonts w:hint="eastAsia" w:ascii="仿宋" w:hAnsi="仿宋" w:eastAsia="仿宋" w:cs="仿宋"/>
          <w:b/>
          <w:color w:val="auto"/>
          <w:szCs w:val="21"/>
          <w:highlight w:val="none"/>
        </w:rPr>
        <w:t>.</w:t>
      </w:r>
      <w:r>
        <w:rPr>
          <w:rFonts w:eastAsia="仿宋"/>
          <w:b/>
          <w:color w:val="auto"/>
          <w:szCs w:val="21"/>
          <w:highlight w:val="none"/>
        </w:rPr>
        <w:t>2</w:t>
      </w:r>
      <w:r>
        <w:rPr>
          <w:rFonts w:hint="eastAsia" w:ascii="仿宋" w:hAnsi="仿宋" w:eastAsia="仿宋" w:cs="仿宋"/>
          <w:b/>
          <w:color w:val="auto"/>
          <w:szCs w:val="21"/>
          <w:highlight w:val="none"/>
        </w:rPr>
        <w:t>.</w:t>
      </w:r>
      <w:r>
        <w:rPr>
          <w:rFonts w:hint="eastAsia" w:eastAsia="仿宋"/>
          <w:b/>
          <w:color w:val="auto"/>
          <w:szCs w:val="21"/>
          <w:highlight w:val="none"/>
        </w:rPr>
        <w:t>7</w:t>
      </w:r>
      <w:r>
        <w:rPr>
          <w:rFonts w:eastAsia="仿宋"/>
          <w:b/>
          <w:color w:val="auto"/>
          <w:szCs w:val="21"/>
          <w:highlight w:val="none"/>
        </w:rPr>
        <w:t xml:space="preserve">  模块化框架结构连接节点构造</w:t>
      </w:r>
    </w:p>
    <w:p>
      <w:pPr>
        <w:jc w:val="center"/>
        <w:rPr>
          <w:rFonts w:eastAsia="仿宋"/>
          <w:bCs/>
          <w:color w:val="auto"/>
          <w:sz w:val="18"/>
          <w:szCs w:val="18"/>
          <w:highlight w:val="none"/>
        </w:rPr>
      </w:pPr>
      <w:r>
        <w:rPr>
          <w:rFonts w:eastAsia="仿宋"/>
          <w:bCs/>
          <w:color w:val="auto"/>
          <w:sz w:val="18"/>
          <w:szCs w:val="18"/>
          <w:highlight w:val="none"/>
        </w:rPr>
        <w:t>1—上模块单元框架柱；2—下模块单元框架柱；3—</w:t>
      </w:r>
      <w:r>
        <w:rPr>
          <w:rFonts w:hint="eastAsia" w:eastAsia="仿宋"/>
          <w:bCs/>
          <w:color w:val="auto"/>
          <w:sz w:val="18"/>
          <w:szCs w:val="18"/>
          <w:highlight w:val="none"/>
          <w:lang w:val="en-US" w:eastAsia="zh-CN"/>
        </w:rPr>
        <w:t>下</w:t>
      </w:r>
      <w:r>
        <w:rPr>
          <w:rFonts w:eastAsia="仿宋"/>
          <w:bCs/>
          <w:color w:val="auto"/>
          <w:sz w:val="18"/>
          <w:szCs w:val="18"/>
          <w:highlight w:val="none"/>
        </w:rPr>
        <w:t>模块单元框架梁；4—</w:t>
      </w:r>
      <w:r>
        <w:rPr>
          <w:rFonts w:hint="eastAsia" w:eastAsia="仿宋"/>
          <w:bCs/>
          <w:color w:val="auto"/>
          <w:sz w:val="18"/>
          <w:szCs w:val="18"/>
          <w:highlight w:val="none"/>
        </w:rPr>
        <w:t>灌浆套筒</w:t>
      </w:r>
      <w:r>
        <w:rPr>
          <w:rFonts w:eastAsia="仿宋"/>
          <w:bCs/>
          <w:color w:val="auto"/>
          <w:sz w:val="18"/>
          <w:szCs w:val="18"/>
          <w:highlight w:val="none"/>
        </w:rPr>
        <w:t>；</w:t>
      </w:r>
    </w:p>
    <w:p>
      <w:pPr>
        <w:jc w:val="center"/>
        <w:rPr>
          <w:rFonts w:eastAsia="仿宋"/>
          <w:bCs/>
          <w:color w:val="auto"/>
          <w:sz w:val="18"/>
          <w:szCs w:val="18"/>
          <w:highlight w:val="none"/>
        </w:rPr>
      </w:pPr>
      <w:r>
        <w:rPr>
          <w:rFonts w:eastAsia="仿宋"/>
          <w:bCs/>
          <w:color w:val="auto"/>
          <w:sz w:val="18"/>
          <w:szCs w:val="18"/>
          <w:highlight w:val="none"/>
        </w:rPr>
        <w:t>5—</w:t>
      </w:r>
      <w:r>
        <w:rPr>
          <w:rFonts w:hint="eastAsia" w:eastAsia="仿宋"/>
          <w:bCs/>
          <w:color w:val="auto"/>
          <w:sz w:val="18"/>
          <w:szCs w:val="18"/>
          <w:highlight w:val="none"/>
        </w:rPr>
        <w:t>浆锚搭接</w:t>
      </w:r>
      <w:r>
        <w:rPr>
          <w:rFonts w:eastAsia="仿宋"/>
          <w:bCs/>
          <w:color w:val="auto"/>
          <w:sz w:val="18"/>
          <w:szCs w:val="18"/>
          <w:highlight w:val="none"/>
        </w:rPr>
        <w:t>；6—</w:t>
      </w:r>
      <w:r>
        <w:rPr>
          <w:rFonts w:hint="eastAsia" w:eastAsia="仿宋"/>
          <w:bCs/>
          <w:color w:val="auto"/>
          <w:sz w:val="18"/>
          <w:szCs w:val="18"/>
          <w:highlight w:val="none"/>
        </w:rPr>
        <w:t>坐浆层</w:t>
      </w:r>
      <w:r>
        <w:rPr>
          <w:rFonts w:eastAsia="仿宋"/>
          <w:bCs/>
          <w:color w:val="auto"/>
          <w:sz w:val="18"/>
          <w:szCs w:val="18"/>
          <w:highlight w:val="none"/>
        </w:rPr>
        <w:t>；7—</w:t>
      </w:r>
      <w:r>
        <w:rPr>
          <w:rFonts w:hint="eastAsia" w:eastAsia="仿宋"/>
          <w:bCs/>
          <w:color w:val="auto"/>
          <w:sz w:val="18"/>
          <w:szCs w:val="18"/>
          <w:highlight w:val="none"/>
        </w:rPr>
        <w:t>封堵材料</w:t>
      </w:r>
    </w:p>
    <w:p>
      <w:pPr>
        <w:numPr>
          <w:ilvl w:val="0"/>
          <w:numId w:val="11"/>
        </w:numPr>
        <w:rPr>
          <w:bCs/>
          <w:color w:val="auto"/>
          <w:highlight w:val="none"/>
        </w:rPr>
      </w:pPr>
      <w:r>
        <w:rPr>
          <w:rFonts w:hint="eastAsia"/>
          <w:bCs/>
          <w:color w:val="auto"/>
          <w:highlight w:val="none"/>
        </w:rPr>
        <w:t>框架式模块单元之间的连接节点应符合下列规定：</w:t>
      </w:r>
    </w:p>
    <w:p>
      <w:pPr>
        <w:ind w:firstLine="421" w:firstLineChars="200"/>
        <w:rPr>
          <w:color w:val="auto"/>
          <w:szCs w:val="21"/>
          <w:highlight w:val="none"/>
        </w:rPr>
      </w:pPr>
      <w:bookmarkStart w:id="424" w:name="_Toc18091"/>
      <w:bookmarkStart w:id="425" w:name="_Toc7858"/>
      <w:r>
        <w:rPr>
          <w:b/>
          <w:bCs/>
          <w:color w:val="auto"/>
          <w:szCs w:val="21"/>
          <w:highlight w:val="none"/>
        </w:rPr>
        <w:t>1</w:t>
      </w:r>
      <w:r>
        <w:rPr>
          <w:rFonts w:hint="eastAsia"/>
          <w:color w:val="auto"/>
          <w:szCs w:val="21"/>
          <w:highlight w:val="none"/>
        </w:rPr>
        <w:t xml:space="preserve"> </w:t>
      </w:r>
      <w:r>
        <w:rPr>
          <w:color w:val="auto"/>
          <w:szCs w:val="21"/>
          <w:highlight w:val="none"/>
        </w:rPr>
        <w:t xml:space="preserve"> </w:t>
      </w:r>
      <w:r>
        <w:rPr>
          <w:rFonts w:hint="eastAsia"/>
          <w:bCs/>
          <w:color w:val="auto"/>
          <w:szCs w:val="21"/>
          <w:highlight w:val="none"/>
        </w:rPr>
        <w:t>连接节点应传力可靠，结构计算模型假定应与连接节点相符</w:t>
      </w:r>
      <w:r>
        <w:rPr>
          <w:rFonts w:hint="eastAsia"/>
          <w:color w:val="auto"/>
          <w:szCs w:val="21"/>
          <w:highlight w:val="none"/>
        </w:rPr>
        <w:t>；</w:t>
      </w:r>
      <w:bookmarkEnd w:id="424"/>
      <w:bookmarkEnd w:id="425"/>
    </w:p>
    <w:p>
      <w:pPr>
        <w:ind w:firstLine="421" w:firstLineChars="200"/>
        <w:rPr>
          <w:color w:val="auto"/>
          <w:szCs w:val="21"/>
          <w:highlight w:val="none"/>
        </w:rPr>
      </w:pPr>
      <w:r>
        <w:rPr>
          <w:rFonts w:hint="eastAsia"/>
          <w:b/>
          <w:bCs/>
          <w:color w:val="auto"/>
          <w:szCs w:val="21"/>
          <w:highlight w:val="none"/>
        </w:rPr>
        <w:t>2</w:t>
      </w:r>
      <w:r>
        <w:rPr>
          <w:rFonts w:hint="eastAsia"/>
          <w:color w:val="auto"/>
          <w:szCs w:val="21"/>
          <w:highlight w:val="none"/>
        </w:rPr>
        <w:t xml:space="preserve"> </w:t>
      </w:r>
      <w:r>
        <w:rPr>
          <w:color w:val="auto"/>
          <w:szCs w:val="21"/>
          <w:highlight w:val="none"/>
        </w:rPr>
        <w:t xml:space="preserve"> </w:t>
      </w:r>
      <w:r>
        <w:rPr>
          <w:rFonts w:hint="eastAsia"/>
          <w:bCs/>
          <w:color w:val="auto"/>
          <w:szCs w:val="21"/>
          <w:highlight w:val="none"/>
        </w:rPr>
        <w:t>连接节点应构造合理、施工方便，满足灌浆及后期维护的作业空间要求</w:t>
      </w:r>
      <w:r>
        <w:rPr>
          <w:rFonts w:hint="eastAsia"/>
          <w:color w:val="auto"/>
          <w:szCs w:val="21"/>
          <w:highlight w:val="none"/>
        </w:rPr>
        <w:t>；</w:t>
      </w:r>
    </w:p>
    <w:p>
      <w:pPr>
        <w:ind w:firstLine="421" w:firstLineChars="200"/>
        <w:rPr>
          <w:color w:val="auto"/>
          <w:szCs w:val="21"/>
          <w:highlight w:val="none"/>
        </w:rPr>
      </w:pPr>
      <w:bookmarkStart w:id="426" w:name="_Toc31345"/>
      <w:bookmarkStart w:id="427" w:name="_Toc18909"/>
      <w:r>
        <w:rPr>
          <w:rFonts w:hint="eastAsia"/>
          <w:b/>
          <w:bCs/>
          <w:color w:val="auto"/>
          <w:szCs w:val="21"/>
          <w:highlight w:val="none"/>
        </w:rPr>
        <w:t>3</w:t>
      </w:r>
      <w:r>
        <w:rPr>
          <w:rFonts w:hint="eastAsia"/>
          <w:color w:val="auto"/>
          <w:szCs w:val="21"/>
          <w:highlight w:val="none"/>
        </w:rPr>
        <w:t xml:space="preserve"> </w:t>
      </w:r>
      <w:r>
        <w:rPr>
          <w:color w:val="auto"/>
          <w:szCs w:val="21"/>
          <w:highlight w:val="none"/>
        </w:rPr>
        <w:t xml:space="preserve"> </w:t>
      </w:r>
      <w:r>
        <w:rPr>
          <w:rFonts w:hint="eastAsia"/>
          <w:bCs/>
          <w:color w:val="auto"/>
          <w:szCs w:val="21"/>
          <w:highlight w:val="none"/>
        </w:rPr>
        <w:t>连接节点宜设置在模块单元框架柱端；</w:t>
      </w:r>
      <w:bookmarkEnd w:id="426"/>
      <w:bookmarkEnd w:id="427"/>
    </w:p>
    <w:p>
      <w:pPr>
        <w:ind w:firstLine="421" w:firstLineChars="200"/>
        <w:rPr>
          <w:color w:val="auto"/>
          <w:szCs w:val="21"/>
          <w:highlight w:val="none"/>
        </w:rPr>
      </w:pPr>
      <w:r>
        <w:rPr>
          <w:rFonts w:hint="eastAsia"/>
          <w:b/>
          <w:bCs/>
          <w:color w:val="auto"/>
          <w:szCs w:val="21"/>
          <w:highlight w:val="none"/>
        </w:rPr>
        <w:t xml:space="preserve">4  </w:t>
      </w:r>
      <w:r>
        <w:rPr>
          <w:rFonts w:hint="eastAsia"/>
          <w:bCs/>
          <w:color w:val="auto"/>
          <w:szCs w:val="21"/>
          <w:highlight w:val="none"/>
        </w:rPr>
        <w:t>连接节点应</w:t>
      </w:r>
      <w:r>
        <w:rPr>
          <w:rFonts w:hint="eastAsia"/>
          <w:color w:val="auto"/>
          <w:szCs w:val="21"/>
          <w:highlight w:val="none"/>
        </w:rPr>
        <w:t>保证相邻模块单元在竖直方向和水平方向上的荷载传递，具有可靠的抗拉、抗压、抗剪、抗弯承载力。</w:t>
      </w:r>
    </w:p>
    <w:p>
      <w:pPr>
        <w:pStyle w:val="5"/>
        <w:rPr>
          <w:color w:val="auto"/>
          <w:highlight w:val="none"/>
        </w:rPr>
      </w:pPr>
      <w:bookmarkStart w:id="428" w:name="_Toc19177"/>
      <w:bookmarkStart w:id="429" w:name="_Toc20703"/>
      <w:bookmarkStart w:id="430" w:name="_Toc7408"/>
      <w:bookmarkStart w:id="431" w:name="_Toc20169"/>
      <w:r>
        <w:rPr>
          <w:b/>
          <w:bCs w:val="0"/>
          <w:color w:val="auto"/>
          <w:highlight w:val="none"/>
        </w:rPr>
        <w:t>Ⅱ</w:t>
      </w:r>
      <w:r>
        <w:rPr>
          <w:color w:val="auto"/>
          <w:highlight w:val="none"/>
        </w:rPr>
        <w:t xml:space="preserve">  </w:t>
      </w:r>
      <w:bookmarkEnd w:id="428"/>
      <w:bookmarkEnd w:id="429"/>
      <w:bookmarkEnd w:id="430"/>
      <w:bookmarkEnd w:id="431"/>
      <w:r>
        <w:rPr>
          <w:rFonts w:hint="eastAsia"/>
          <w:color w:val="auto"/>
          <w:highlight w:val="none"/>
        </w:rPr>
        <w:t>模块化全预制剪力墙结构</w:t>
      </w:r>
    </w:p>
    <w:p>
      <w:pPr>
        <w:numPr>
          <w:ilvl w:val="0"/>
          <w:numId w:val="11"/>
        </w:numPr>
        <w:rPr>
          <w:bCs/>
          <w:color w:val="auto"/>
          <w:highlight w:val="none"/>
        </w:rPr>
      </w:pPr>
      <w:r>
        <w:rPr>
          <w:rFonts w:hint="eastAsia"/>
          <w:bCs/>
          <w:color w:val="auto"/>
          <w:highlight w:val="none"/>
        </w:rPr>
        <w:t>模块化全预制剪力墙结构体系的分析模型等同于装配整体式剪力墙结构（图5.2.9）。其结构计算分析应符合现行行业标准</w:t>
      </w:r>
      <w:r>
        <w:rPr>
          <w:rFonts w:hint="eastAsia"/>
          <w:color w:val="auto"/>
          <w:highlight w:val="none"/>
        </w:rPr>
        <w:t>《装配式混凝土结构技术规程》</w:t>
      </w:r>
      <w:r>
        <w:rPr>
          <w:color w:val="auto"/>
          <w:highlight w:val="none"/>
        </w:rPr>
        <w:t>JGJ 1</w:t>
      </w:r>
      <w:r>
        <w:rPr>
          <w:rFonts w:hint="eastAsia"/>
          <w:bCs/>
          <w:color w:val="auto"/>
          <w:highlight w:val="none"/>
        </w:rPr>
        <w:t>的相关规定。</w:t>
      </w:r>
    </w:p>
    <w:p>
      <w:pPr>
        <w:tabs>
          <w:tab w:val="left" w:pos="2779"/>
        </w:tabs>
        <w:jc w:val="center"/>
        <w:rPr>
          <w:color w:val="auto"/>
          <w:highlight w:val="none"/>
        </w:rPr>
      </w:pPr>
      <w:r>
        <w:rPr>
          <w:color w:val="auto"/>
          <w:highlight w:val="none"/>
        </w:rPr>
        <w:drawing>
          <wp:inline distT="0" distB="0" distL="114300" distR="114300">
            <wp:extent cx="2766060" cy="1979930"/>
            <wp:effectExtent l="0" t="0" r="7620" b="127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31"/>
                    <a:stretch>
                      <a:fillRect/>
                    </a:stretch>
                  </pic:blipFill>
                  <pic:spPr>
                    <a:xfrm>
                      <a:off x="0" y="0"/>
                      <a:ext cx="2766060" cy="1979930"/>
                    </a:xfrm>
                    <a:prstGeom prst="rect">
                      <a:avLst/>
                    </a:prstGeom>
                    <a:noFill/>
                    <a:ln>
                      <a:noFill/>
                    </a:ln>
                  </pic:spPr>
                </pic:pic>
              </a:graphicData>
            </a:graphic>
          </wp:inline>
        </w:drawing>
      </w:r>
    </w:p>
    <w:p>
      <w:pPr>
        <w:widowControl/>
        <w:jc w:val="center"/>
        <w:rPr>
          <w:rFonts w:eastAsia="仿宋"/>
          <w:b/>
          <w:bCs/>
          <w:color w:val="auto"/>
          <w:kern w:val="0"/>
          <w:szCs w:val="21"/>
          <w:highlight w:val="none"/>
        </w:rPr>
      </w:pPr>
      <w:r>
        <w:rPr>
          <w:rFonts w:eastAsia="仿宋"/>
          <w:b/>
          <w:bCs/>
          <w:color w:val="auto"/>
          <w:kern w:val="0"/>
          <w:szCs w:val="21"/>
          <w:highlight w:val="none"/>
        </w:rPr>
        <w:t>图5</w:t>
      </w:r>
      <w:r>
        <w:rPr>
          <w:rFonts w:hint="eastAsia" w:ascii="仿宋" w:hAnsi="仿宋" w:eastAsia="仿宋" w:cs="仿宋"/>
          <w:b/>
          <w:bCs/>
          <w:color w:val="auto"/>
          <w:kern w:val="0"/>
          <w:szCs w:val="21"/>
          <w:highlight w:val="none"/>
        </w:rPr>
        <w:t>.</w:t>
      </w:r>
      <w:r>
        <w:rPr>
          <w:rFonts w:eastAsia="仿宋"/>
          <w:b/>
          <w:bCs/>
          <w:color w:val="auto"/>
          <w:kern w:val="0"/>
          <w:szCs w:val="21"/>
          <w:highlight w:val="none"/>
        </w:rPr>
        <w:t>2</w:t>
      </w:r>
      <w:r>
        <w:rPr>
          <w:rFonts w:hint="eastAsia" w:ascii="仿宋" w:hAnsi="仿宋" w:eastAsia="仿宋" w:cs="仿宋"/>
          <w:b/>
          <w:bCs/>
          <w:color w:val="auto"/>
          <w:kern w:val="0"/>
          <w:szCs w:val="21"/>
          <w:highlight w:val="none"/>
        </w:rPr>
        <w:t>.</w:t>
      </w:r>
      <w:r>
        <w:rPr>
          <w:rFonts w:hint="eastAsia" w:eastAsia="仿宋"/>
          <w:b/>
          <w:bCs/>
          <w:color w:val="auto"/>
          <w:kern w:val="0"/>
          <w:szCs w:val="21"/>
          <w:highlight w:val="none"/>
        </w:rPr>
        <w:t>9</w:t>
      </w:r>
      <w:r>
        <w:rPr>
          <w:rFonts w:eastAsia="仿宋"/>
          <w:b/>
          <w:bCs/>
          <w:color w:val="auto"/>
          <w:kern w:val="0"/>
          <w:szCs w:val="21"/>
          <w:highlight w:val="none"/>
        </w:rPr>
        <w:t xml:space="preserve">  </w:t>
      </w:r>
      <w:r>
        <w:rPr>
          <w:rFonts w:hint="eastAsia" w:eastAsia="仿宋"/>
          <w:b/>
          <w:bCs/>
          <w:color w:val="auto"/>
          <w:kern w:val="0"/>
          <w:szCs w:val="21"/>
          <w:highlight w:val="none"/>
        </w:rPr>
        <w:t>模块化全预制剪力墙结构</w:t>
      </w:r>
      <w:r>
        <w:rPr>
          <w:rFonts w:eastAsia="仿宋"/>
          <w:b/>
          <w:bCs/>
          <w:color w:val="auto"/>
          <w:kern w:val="0"/>
          <w:szCs w:val="21"/>
          <w:highlight w:val="none"/>
        </w:rPr>
        <w:t>示意图</w:t>
      </w:r>
    </w:p>
    <w:p>
      <w:pPr>
        <w:pStyle w:val="54"/>
        <w:rPr>
          <w:rFonts w:eastAsia="仿宋"/>
          <w:color w:val="auto"/>
          <w:highlight w:val="none"/>
        </w:rPr>
      </w:pPr>
      <w:r>
        <w:rPr>
          <w:rFonts w:eastAsia="仿宋"/>
          <w:color w:val="auto"/>
          <w:highlight w:val="none"/>
        </w:rPr>
        <w:t>1—左方</w:t>
      </w:r>
      <w:r>
        <w:rPr>
          <w:rFonts w:hint="eastAsia" w:eastAsia="仿宋"/>
          <w:color w:val="auto"/>
          <w:highlight w:val="none"/>
        </w:rPr>
        <w:t>全预制剪力墙式模块</w:t>
      </w:r>
      <w:r>
        <w:rPr>
          <w:rFonts w:eastAsia="仿宋"/>
          <w:color w:val="auto"/>
          <w:highlight w:val="none"/>
        </w:rPr>
        <w:t>单元；2—右方</w:t>
      </w:r>
      <w:r>
        <w:rPr>
          <w:rFonts w:hint="eastAsia" w:eastAsia="仿宋"/>
          <w:color w:val="auto"/>
          <w:highlight w:val="none"/>
        </w:rPr>
        <w:t>全预制剪力墙式模块</w:t>
      </w:r>
      <w:r>
        <w:rPr>
          <w:rFonts w:eastAsia="仿宋"/>
          <w:color w:val="auto"/>
          <w:highlight w:val="none"/>
        </w:rPr>
        <w:t>单元；3—预制剪力墙；</w:t>
      </w:r>
    </w:p>
    <w:p>
      <w:pPr>
        <w:pStyle w:val="54"/>
        <w:rPr>
          <w:rFonts w:eastAsia="仿宋"/>
          <w:color w:val="auto"/>
          <w:highlight w:val="none"/>
        </w:rPr>
      </w:pPr>
      <w:r>
        <w:rPr>
          <w:rFonts w:eastAsia="仿宋"/>
          <w:color w:val="auto"/>
          <w:highlight w:val="none"/>
        </w:rPr>
        <w:t>4—左方</w:t>
      </w:r>
      <w:r>
        <w:rPr>
          <w:rFonts w:hint="eastAsia" w:eastAsia="仿宋"/>
          <w:color w:val="auto"/>
          <w:highlight w:val="none"/>
        </w:rPr>
        <w:t>全预制剪力墙式模块</w:t>
      </w:r>
      <w:r>
        <w:rPr>
          <w:rFonts w:eastAsia="仿宋"/>
          <w:color w:val="auto"/>
          <w:highlight w:val="none"/>
        </w:rPr>
        <w:t>单元隔墙；5—叠合</w:t>
      </w:r>
      <w:r>
        <w:rPr>
          <w:rFonts w:hint="eastAsia" w:eastAsia="仿宋"/>
          <w:color w:val="auto"/>
          <w:highlight w:val="none"/>
        </w:rPr>
        <w:t>楼</w:t>
      </w:r>
      <w:r>
        <w:rPr>
          <w:rFonts w:eastAsia="仿宋"/>
          <w:color w:val="auto"/>
          <w:highlight w:val="none"/>
        </w:rPr>
        <w:t>板；6—装饰底板；7—模块单元拼缝</w:t>
      </w:r>
    </w:p>
    <w:p>
      <w:pPr>
        <w:numPr>
          <w:ilvl w:val="0"/>
          <w:numId w:val="11"/>
        </w:numPr>
        <w:rPr>
          <w:strike/>
          <w:color w:val="auto"/>
          <w:highlight w:val="none"/>
        </w:rPr>
      </w:pPr>
      <w:r>
        <w:rPr>
          <w:rFonts w:hint="eastAsia"/>
          <w:bCs/>
          <w:color w:val="auto"/>
          <w:highlight w:val="none"/>
        </w:rPr>
        <w:t>高层建筑模块化全预制剪力墙结构底部加强部位的剪力墙及约束边缘构件宜采用现浇混凝土。</w:t>
      </w:r>
    </w:p>
    <w:p>
      <w:pPr>
        <w:numPr>
          <w:ilvl w:val="0"/>
          <w:numId w:val="11"/>
        </w:numPr>
        <w:rPr>
          <w:bCs/>
          <w:color w:val="auto"/>
          <w:highlight w:val="none"/>
        </w:rPr>
      </w:pPr>
      <w:r>
        <w:rPr>
          <w:rFonts w:hint="eastAsia"/>
          <w:color w:val="auto"/>
          <w:highlight w:val="none"/>
        </w:rPr>
        <w:t>模块化全预制剪力墙结构中的预制剪力墙</w:t>
      </w:r>
      <w:r>
        <w:rPr>
          <w:color w:val="auto"/>
          <w:highlight w:val="none"/>
        </w:rPr>
        <w:t>可采用一字形</w:t>
      </w:r>
      <w:r>
        <w:rPr>
          <w:rFonts w:hint="eastAsia"/>
          <w:color w:val="auto"/>
          <w:highlight w:val="none"/>
        </w:rPr>
        <w:t>、</w:t>
      </w:r>
      <w:r>
        <w:rPr>
          <w:color w:val="auto"/>
          <w:highlight w:val="none"/>
        </w:rPr>
        <w:t>L形</w:t>
      </w:r>
      <w:r>
        <w:rPr>
          <w:rFonts w:hint="eastAsia"/>
          <w:color w:val="auto"/>
          <w:highlight w:val="none"/>
        </w:rPr>
        <w:t>和T形</w:t>
      </w:r>
      <w:r>
        <w:rPr>
          <w:color w:val="auto"/>
          <w:highlight w:val="none"/>
        </w:rPr>
        <w:t>截面</w:t>
      </w:r>
      <w:r>
        <w:rPr>
          <w:rFonts w:hint="eastAsia"/>
          <w:color w:val="auto"/>
          <w:highlight w:val="none"/>
        </w:rPr>
        <w:t>，剪力墙端部应与隔墙采用柔性材料分隔</w:t>
      </w:r>
      <w:r>
        <w:rPr>
          <w:color w:val="auto"/>
          <w:highlight w:val="none"/>
        </w:rPr>
        <w:t>。</w:t>
      </w:r>
    </w:p>
    <w:p>
      <w:pPr>
        <w:numPr>
          <w:ilvl w:val="0"/>
          <w:numId w:val="11"/>
        </w:numPr>
        <w:rPr>
          <w:color w:val="auto"/>
          <w:highlight w:val="none"/>
        </w:rPr>
      </w:pPr>
      <w:r>
        <w:rPr>
          <w:rFonts w:hint="eastAsia"/>
          <w:color w:val="auto"/>
          <w:highlight w:val="none"/>
        </w:rPr>
        <w:t>模块化全预制剪力墙结构中模块单元与梁、剪力墙和楼板的连接构造应符合下列规定：</w:t>
      </w:r>
    </w:p>
    <w:p>
      <w:pPr>
        <w:ind w:firstLine="421" w:firstLineChars="200"/>
        <w:rPr>
          <w:color w:val="auto"/>
          <w:highlight w:val="none"/>
        </w:rPr>
      </w:pPr>
      <w:bookmarkStart w:id="432" w:name="_Toc1688"/>
      <w:bookmarkStart w:id="433" w:name="_Toc26562"/>
      <w:r>
        <w:rPr>
          <w:b/>
          <w:color w:val="auto"/>
          <w:highlight w:val="none"/>
        </w:rPr>
        <w:t xml:space="preserve">1  </w:t>
      </w:r>
      <w:r>
        <w:rPr>
          <w:rFonts w:hint="eastAsia"/>
          <w:color w:val="auto"/>
          <w:highlight w:val="none"/>
        </w:rPr>
        <w:t>后</w:t>
      </w:r>
      <w:r>
        <w:rPr>
          <w:color w:val="auto"/>
          <w:highlight w:val="none"/>
        </w:rPr>
        <w:t>浇混凝土梁</w:t>
      </w:r>
      <w:r>
        <w:rPr>
          <w:rFonts w:hint="eastAsia"/>
          <w:color w:val="auto"/>
          <w:highlight w:val="none"/>
        </w:rPr>
        <w:t>底与梁模之间应</w:t>
      </w:r>
      <w:r>
        <w:rPr>
          <w:color w:val="auto"/>
          <w:highlight w:val="none"/>
        </w:rPr>
        <w:t>设置柔性层；</w:t>
      </w:r>
      <w:bookmarkEnd w:id="432"/>
      <w:bookmarkEnd w:id="433"/>
    </w:p>
    <w:p>
      <w:pPr>
        <w:ind w:firstLine="421" w:firstLineChars="200"/>
        <w:rPr>
          <w:bCs/>
          <w:color w:val="auto"/>
          <w:highlight w:val="none"/>
        </w:rPr>
      </w:pPr>
      <w:r>
        <w:rPr>
          <w:b/>
          <w:color w:val="auto"/>
          <w:highlight w:val="none"/>
        </w:rPr>
        <w:t xml:space="preserve">2  </w:t>
      </w:r>
      <w:r>
        <w:rPr>
          <w:rFonts w:hint="eastAsia"/>
          <w:bCs/>
          <w:color w:val="auto"/>
          <w:highlight w:val="none"/>
        </w:rPr>
        <w:t>预制剪力墙、模壳板底与结构板之间应设置坐浆层，坐浆料设计强度等级不宜小于</w:t>
      </w:r>
      <w:r>
        <w:rPr>
          <w:bCs/>
          <w:color w:val="auto"/>
          <w:highlight w:val="none"/>
        </w:rPr>
        <w:t>C60</w:t>
      </w:r>
      <w:r>
        <w:rPr>
          <w:rFonts w:hint="eastAsia"/>
          <w:bCs/>
          <w:color w:val="auto"/>
          <w:highlight w:val="none"/>
        </w:rPr>
        <w:t>，且不应小于墙、柱强度等级</w:t>
      </w:r>
      <w:r>
        <w:rPr>
          <w:bCs/>
          <w:color w:val="auto"/>
          <w:highlight w:val="none"/>
        </w:rPr>
        <w:t>，</w:t>
      </w:r>
      <w:r>
        <w:rPr>
          <w:rFonts w:hint="eastAsia"/>
          <w:bCs/>
          <w:color w:val="auto"/>
          <w:highlight w:val="none"/>
        </w:rPr>
        <w:t>坐浆层厚度宜取2</w:t>
      </w:r>
      <w:r>
        <w:rPr>
          <w:bCs/>
          <w:color w:val="auto"/>
          <w:highlight w:val="none"/>
        </w:rPr>
        <w:t>0</w:t>
      </w:r>
      <w:r>
        <w:rPr>
          <w:rFonts w:hint="eastAsia"/>
          <w:bCs/>
          <w:color w:val="auto"/>
          <w:highlight w:val="none"/>
        </w:rPr>
        <w:t>mm；</w:t>
      </w:r>
    </w:p>
    <w:p>
      <w:pPr>
        <w:ind w:firstLine="421" w:firstLineChars="200"/>
        <w:rPr>
          <w:bCs/>
          <w:color w:val="auto"/>
          <w:highlight w:val="none"/>
        </w:rPr>
      </w:pPr>
      <w:r>
        <w:rPr>
          <w:b/>
          <w:color w:val="auto"/>
          <w:highlight w:val="none"/>
        </w:rPr>
        <w:t>3</w:t>
      </w:r>
      <w:r>
        <w:rPr>
          <w:rFonts w:hint="eastAsia"/>
          <w:bCs/>
          <w:color w:val="auto"/>
          <w:highlight w:val="none"/>
        </w:rPr>
        <w:t xml:space="preserve">  若采用套筒灌浆连接，应符合现行行业标准《钢筋套筒灌浆连接应用技术规程》JGJ 355的有关规定。</w:t>
      </w:r>
    </w:p>
    <w:p>
      <w:pPr>
        <w:pStyle w:val="5"/>
        <w:rPr>
          <w:color w:val="auto"/>
          <w:highlight w:val="none"/>
        </w:rPr>
      </w:pPr>
      <w:bookmarkStart w:id="434" w:name="_Toc3845"/>
      <w:bookmarkStart w:id="435" w:name="_Toc16417"/>
      <w:bookmarkStart w:id="436" w:name="_Toc3240"/>
      <w:bookmarkStart w:id="437" w:name="_Toc18849"/>
      <w:r>
        <w:rPr>
          <w:b/>
          <w:bCs w:val="0"/>
          <w:color w:val="auto"/>
          <w:highlight w:val="none"/>
        </w:rPr>
        <w:t>Ⅲ</w:t>
      </w:r>
      <w:r>
        <w:rPr>
          <w:color w:val="auto"/>
          <w:highlight w:val="none"/>
        </w:rPr>
        <w:t xml:space="preserve">  </w:t>
      </w:r>
      <w:r>
        <w:rPr>
          <w:rFonts w:hint="eastAsia"/>
          <w:color w:val="auto"/>
          <w:highlight w:val="none"/>
        </w:rPr>
        <w:t>模块化叠合剪力墙结构</w:t>
      </w:r>
      <w:bookmarkEnd w:id="434"/>
      <w:bookmarkEnd w:id="435"/>
      <w:bookmarkEnd w:id="436"/>
      <w:bookmarkEnd w:id="437"/>
    </w:p>
    <w:p>
      <w:pPr>
        <w:numPr>
          <w:ilvl w:val="0"/>
          <w:numId w:val="11"/>
        </w:numPr>
        <w:rPr>
          <w:color w:val="auto"/>
          <w:highlight w:val="none"/>
        </w:rPr>
      </w:pPr>
      <w:r>
        <w:rPr>
          <w:rFonts w:hint="eastAsia"/>
          <w:color w:val="auto"/>
          <w:highlight w:val="none"/>
        </w:rPr>
        <w:t>模块化叠合剪力墙结构体系的分析模型等同于装配整体式叠合剪力墙结构体系（图5.2.13）。</w:t>
      </w:r>
    </w:p>
    <w:p>
      <w:pPr>
        <w:adjustRightInd w:val="0"/>
        <w:snapToGrid w:val="0"/>
        <w:jc w:val="center"/>
        <w:rPr>
          <w:color w:val="auto"/>
          <w:highlight w:val="none"/>
        </w:rPr>
      </w:pPr>
      <w:r>
        <w:rPr>
          <w:color w:val="auto"/>
          <w:highlight w:val="none"/>
        </w:rPr>
        <w:drawing>
          <wp:inline distT="0" distB="0" distL="114300" distR="114300">
            <wp:extent cx="2783840" cy="1979930"/>
            <wp:effectExtent l="0" t="0" r="5080" b="1270"/>
            <wp:docPr id="2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pic:cNvPicPr>
                      <a:picLocks noChangeAspect="1"/>
                    </pic:cNvPicPr>
                  </pic:nvPicPr>
                  <pic:blipFill>
                    <a:blip r:embed="rId32"/>
                    <a:stretch>
                      <a:fillRect/>
                    </a:stretch>
                  </pic:blipFill>
                  <pic:spPr>
                    <a:xfrm>
                      <a:off x="0" y="0"/>
                      <a:ext cx="2783840" cy="1979930"/>
                    </a:xfrm>
                    <a:prstGeom prst="rect">
                      <a:avLst/>
                    </a:prstGeom>
                    <a:noFill/>
                    <a:ln>
                      <a:noFill/>
                    </a:ln>
                  </pic:spPr>
                </pic:pic>
              </a:graphicData>
            </a:graphic>
          </wp:inline>
        </w:drawing>
      </w:r>
    </w:p>
    <w:p>
      <w:pPr>
        <w:pStyle w:val="54"/>
        <w:rPr>
          <w:rFonts w:eastAsia="仿宋"/>
          <w:b/>
          <w:bCs/>
          <w:color w:val="auto"/>
          <w:sz w:val="21"/>
          <w:szCs w:val="24"/>
          <w:highlight w:val="none"/>
        </w:rPr>
      </w:pPr>
      <w:r>
        <w:rPr>
          <w:rFonts w:eastAsia="仿宋"/>
          <w:b/>
          <w:bCs/>
          <w:color w:val="auto"/>
          <w:sz w:val="21"/>
          <w:szCs w:val="24"/>
          <w:highlight w:val="none"/>
        </w:rPr>
        <w:t>图5</w:t>
      </w:r>
      <w:r>
        <w:rPr>
          <w:rFonts w:hint="eastAsia" w:ascii="仿宋" w:hAnsi="仿宋" w:eastAsia="仿宋" w:cs="仿宋"/>
          <w:b/>
          <w:bCs/>
          <w:color w:val="auto"/>
          <w:sz w:val="21"/>
          <w:szCs w:val="24"/>
          <w:highlight w:val="none"/>
        </w:rPr>
        <w:t>.</w:t>
      </w:r>
      <w:r>
        <w:rPr>
          <w:rFonts w:eastAsia="仿宋"/>
          <w:b/>
          <w:bCs/>
          <w:color w:val="auto"/>
          <w:sz w:val="21"/>
          <w:szCs w:val="24"/>
          <w:highlight w:val="none"/>
        </w:rPr>
        <w:t>2</w:t>
      </w:r>
      <w:r>
        <w:rPr>
          <w:rFonts w:hint="eastAsia" w:ascii="仿宋" w:hAnsi="仿宋" w:eastAsia="仿宋" w:cs="仿宋"/>
          <w:b/>
          <w:bCs/>
          <w:color w:val="auto"/>
          <w:sz w:val="21"/>
          <w:szCs w:val="24"/>
          <w:highlight w:val="none"/>
        </w:rPr>
        <w:t>.</w:t>
      </w:r>
      <w:r>
        <w:rPr>
          <w:rFonts w:eastAsia="仿宋"/>
          <w:b/>
          <w:bCs/>
          <w:color w:val="auto"/>
          <w:sz w:val="21"/>
          <w:szCs w:val="24"/>
          <w:highlight w:val="none"/>
        </w:rPr>
        <w:t>1</w:t>
      </w:r>
      <w:r>
        <w:rPr>
          <w:rFonts w:hint="eastAsia" w:eastAsia="仿宋"/>
          <w:b/>
          <w:bCs/>
          <w:color w:val="auto"/>
          <w:sz w:val="21"/>
          <w:szCs w:val="24"/>
          <w:highlight w:val="none"/>
        </w:rPr>
        <w:t>3</w:t>
      </w:r>
      <w:r>
        <w:rPr>
          <w:rFonts w:eastAsia="仿宋"/>
          <w:b/>
          <w:bCs/>
          <w:color w:val="auto"/>
          <w:sz w:val="21"/>
          <w:szCs w:val="24"/>
          <w:highlight w:val="none"/>
        </w:rPr>
        <w:t xml:space="preserve">  模块化叠合剪力墙结构示意图</w:t>
      </w:r>
    </w:p>
    <w:p>
      <w:pPr>
        <w:pStyle w:val="54"/>
        <w:rPr>
          <w:rFonts w:eastAsia="仿宋"/>
          <w:color w:val="auto"/>
          <w:highlight w:val="none"/>
        </w:rPr>
      </w:pPr>
      <w:r>
        <w:rPr>
          <w:rFonts w:eastAsia="仿宋"/>
          <w:color w:val="auto"/>
          <w:highlight w:val="none"/>
        </w:rPr>
        <w:t>1—左方叠合剪力墙式模块单元；2—右方叠合剪力墙式模块单元；3—叠合剪力墙后浇部分；4—叠合楼板；</w:t>
      </w:r>
    </w:p>
    <w:p>
      <w:pPr>
        <w:pStyle w:val="54"/>
        <w:rPr>
          <w:rFonts w:eastAsia="仿宋"/>
          <w:color w:val="auto"/>
          <w:highlight w:val="none"/>
        </w:rPr>
      </w:pPr>
      <w:r>
        <w:rPr>
          <w:rFonts w:eastAsia="仿宋"/>
          <w:color w:val="auto"/>
          <w:highlight w:val="none"/>
        </w:rPr>
        <w:t>5—</w:t>
      </w:r>
      <w:r>
        <w:rPr>
          <w:rFonts w:hint="eastAsia" w:eastAsia="仿宋"/>
          <w:color w:val="auto"/>
          <w:highlight w:val="none"/>
        </w:rPr>
        <w:t>单面</w:t>
      </w:r>
      <w:r>
        <w:rPr>
          <w:rFonts w:eastAsia="仿宋"/>
          <w:color w:val="auto"/>
          <w:highlight w:val="none"/>
        </w:rPr>
        <w:t>叠合剪力墙预制墙板；6—左方叠合剪力墙式模块单元墙模；7—装饰底板</w:t>
      </w:r>
    </w:p>
    <w:p>
      <w:pPr>
        <w:numPr>
          <w:ilvl w:val="0"/>
          <w:numId w:val="11"/>
        </w:numPr>
        <w:rPr>
          <w:color w:val="auto"/>
          <w:highlight w:val="none"/>
        </w:rPr>
      </w:pPr>
      <w:r>
        <w:rPr>
          <w:rFonts w:hint="eastAsia"/>
          <w:color w:val="auto"/>
          <w:highlight w:val="none"/>
        </w:rPr>
        <w:t>高层建筑模块化叠合剪力墙结构底部加强部位的剪力墙宜采用现浇混凝土。</w:t>
      </w:r>
    </w:p>
    <w:p>
      <w:pPr>
        <w:pStyle w:val="47"/>
        <w:numPr>
          <w:ilvl w:val="0"/>
          <w:numId w:val="11"/>
        </w:numPr>
        <w:ind w:firstLineChars="0"/>
        <w:rPr>
          <w:color w:val="auto"/>
          <w:highlight w:val="none"/>
        </w:rPr>
      </w:pPr>
      <w:r>
        <w:rPr>
          <w:rFonts w:hint="eastAsia"/>
          <w:color w:val="auto"/>
          <w:highlight w:val="none"/>
        </w:rPr>
        <w:t>模块化叠合剪力墙结构的边缘构件宜采用叠合或现浇混凝土。</w:t>
      </w:r>
    </w:p>
    <w:p>
      <w:pPr>
        <w:pStyle w:val="47"/>
        <w:numPr>
          <w:ilvl w:val="0"/>
          <w:numId w:val="11"/>
        </w:numPr>
        <w:ind w:firstLineChars="0"/>
        <w:rPr>
          <w:color w:val="auto"/>
          <w:highlight w:val="none"/>
        </w:rPr>
      </w:pPr>
      <w:r>
        <w:rPr>
          <w:rFonts w:hint="eastAsia"/>
          <w:color w:val="auto"/>
          <w:highlight w:val="none"/>
        </w:rPr>
        <w:t>模块化叠合剪力墙结构边缘构件叠合时，边缘构件的竖向连接钢筋宜采用搭接或机械套筒连接；有可靠依据时，钢筋可采用单排搭接，并应在搭接区段采用箍筋加密构造。</w:t>
      </w:r>
    </w:p>
    <w:p>
      <w:pPr>
        <w:numPr>
          <w:ilvl w:val="0"/>
          <w:numId w:val="11"/>
        </w:numPr>
        <w:rPr>
          <w:color w:val="auto"/>
          <w:highlight w:val="none"/>
        </w:rPr>
      </w:pPr>
      <w:r>
        <w:rPr>
          <w:rFonts w:hint="eastAsia"/>
          <w:color w:val="auto"/>
          <w:highlight w:val="none"/>
        </w:rPr>
        <w:t>模块化叠合剪力墙结构中的剪力墙可采用一字形、L形和T形截面，剪力墙端部应与墙模采用柔性材料分隔。</w:t>
      </w:r>
    </w:p>
    <w:p>
      <w:pPr>
        <w:numPr>
          <w:ilvl w:val="0"/>
          <w:numId w:val="11"/>
        </w:numPr>
        <w:rPr>
          <w:color w:val="auto"/>
          <w:highlight w:val="none"/>
        </w:rPr>
      </w:pPr>
      <w:r>
        <w:rPr>
          <w:rFonts w:hint="eastAsia"/>
          <w:color w:val="auto"/>
          <w:highlight w:val="none"/>
        </w:rPr>
        <w:t>模块化叠合剪力墙结构中模块单元与梁、剪力墙和楼板的连接构造应符合下列规定：</w:t>
      </w:r>
    </w:p>
    <w:p>
      <w:pPr>
        <w:ind w:firstLine="421" w:firstLineChars="200"/>
        <w:rPr>
          <w:color w:val="auto"/>
          <w:highlight w:val="none"/>
        </w:rPr>
      </w:pPr>
      <w:bookmarkStart w:id="438" w:name="_Toc27810"/>
      <w:bookmarkStart w:id="439" w:name="_Toc26152"/>
      <w:r>
        <w:rPr>
          <w:b/>
          <w:color w:val="auto"/>
          <w:highlight w:val="none"/>
        </w:rPr>
        <w:t xml:space="preserve">1  </w:t>
      </w:r>
      <w:r>
        <w:rPr>
          <w:rFonts w:hint="eastAsia"/>
          <w:color w:val="auto"/>
          <w:highlight w:val="none"/>
        </w:rPr>
        <w:t>后</w:t>
      </w:r>
      <w:r>
        <w:rPr>
          <w:color w:val="auto"/>
          <w:highlight w:val="none"/>
        </w:rPr>
        <w:t>浇混凝土梁</w:t>
      </w:r>
      <w:r>
        <w:rPr>
          <w:rFonts w:hint="eastAsia"/>
          <w:color w:val="auto"/>
          <w:highlight w:val="none"/>
        </w:rPr>
        <w:t>底与梁模之间应</w:t>
      </w:r>
      <w:r>
        <w:rPr>
          <w:color w:val="auto"/>
          <w:highlight w:val="none"/>
        </w:rPr>
        <w:t>设置</w:t>
      </w:r>
      <w:r>
        <w:rPr>
          <w:rFonts w:hint="eastAsia"/>
          <w:color w:val="auto"/>
          <w:highlight w:val="none"/>
        </w:rPr>
        <w:t>柔性层</w:t>
      </w:r>
      <w:r>
        <w:rPr>
          <w:color w:val="auto"/>
          <w:highlight w:val="none"/>
        </w:rPr>
        <w:t>；</w:t>
      </w:r>
      <w:bookmarkEnd w:id="438"/>
      <w:bookmarkEnd w:id="439"/>
    </w:p>
    <w:p>
      <w:pPr>
        <w:ind w:firstLine="421" w:firstLineChars="200"/>
        <w:rPr>
          <w:color w:val="auto"/>
          <w:highlight w:val="none"/>
        </w:rPr>
      </w:pPr>
      <w:r>
        <w:rPr>
          <w:b/>
          <w:color w:val="auto"/>
          <w:highlight w:val="none"/>
        </w:rPr>
        <w:t xml:space="preserve">2  </w:t>
      </w:r>
      <w:r>
        <w:rPr>
          <w:rFonts w:hint="eastAsia"/>
          <w:color w:val="auto"/>
          <w:highlight w:val="none"/>
        </w:rPr>
        <w:t>叠合剪力墙预制板</w:t>
      </w:r>
      <w:r>
        <w:rPr>
          <w:rFonts w:hint="eastAsia"/>
          <w:bCs/>
          <w:color w:val="auto"/>
          <w:highlight w:val="none"/>
        </w:rPr>
        <w:t>、模壳板底与结构板之间应设置坐浆层，坐浆料强度等级不宜小于</w:t>
      </w:r>
      <w:r>
        <w:rPr>
          <w:bCs/>
          <w:color w:val="auto"/>
          <w:highlight w:val="none"/>
        </w:rPr>
        <w:t>C60</w:t>
      </w:r>
      <w:r>
        <w:rPr>
          <w:rFonts w:hint="eastAsia"/>
          <w:bCs/>
          <w:color w:val="auto"/>
          <w:highlight w:val="none"/>
        </w:rPr>
        <w:t>，且不应小于墙、柱强度等级</w:t>
      </w:r>
      <w:r>
        <w:rPr>
          <w:bCs/>
          <w:color w:val="auto"/>
          <w:highlight w:val="none"/>
        </w:rPr>
        <w:t>，</w:t>
      </w:r>
      <w:r>
        <w:rPr>
          <w:rFonts w:hint="eastAsia"/>
          <w:color w:val="auto"/>
          <w:highlight w:val="none"/>
        </w:rPr>
        <w:t>坐浆层厚度宜取2</w:t>
      </w:r>
      <w:r>
        <w:rPr>
          <w:color w:val="auto"/>
          <w:highlight w:val="none"/>
        </w:rPr>
        <w:t>0</w:t>
      </w:r>
      <w:r>
        <w:rPr>
          <w:rFonts w:hint="eastAsia"/>
          <w:color w:val="auto"/>
          <w:highlight w:val="none"/>
        </w:rPr>
        <w:t>mm</w:t>
      </w:r>
      <w:r>
        <w:rPr>
          <w:color w:val="auto"/>
          <w:highlight w:val="none"/>
        </w:rPr>
        <w:t>。</w:t>
      </w:r>
    </w:p>
    <w:p>
      <w:pPr>
        <w:numPr>
          <w:ilvl w:val="0"/>
          <w:numId w:val="11"/>
        </w:numPr>
        <w:rPr>
          <w:color w:val="auto"/>
          <w:highlight w:val="none"/>
        </w:rPr>
      </w:pPr>
      <w:r>
        <w:rPr>
          <w:rFonts w:hint="eastAsia"/>
          <w:color w:val="auto"/>
          <w:highlight w:val="none"/>
        </w:rPr>
        <w:t>混凝土模块化叠合剪力墙用模块单元中的非承重墙体与现浇部分之间宜采用柔性连接。非承重墙体的抗震设计应符合现行</w:t>
      </w:r>
      <w:r>
        <w:rPr>
          <w:rFonts w:hint="eastAsia"/>
          <w:bCs/>
          <w:color w:val="auto"/>
          <w:highlight w:val="none"/>
        </w:rPr>
        <w:t>上海市地方标准</w:t>
      </w:r>
      <w:r>
        <w:rPr>
          <w:rFonts w:hint="eastAsia"/>
          <w:color w:val="auto"/>
          <w:highlight w:val="none"/>
        </w:rPr>
        <w:t>《建筑抗震设计标准》DG/TJ 08-9中的有关规定。</w:t>
      </w:r>
    </w:p>
    <w:p>
      <w:pPr>
        <w:pStyle w:val="5"/>
        <w:rPr>
          <w:color w:val="auto"/>
          <w:highlight w:val="none"/>
        </w:rPr>
      </w:pPr>
      <w:bookmarkStart w:id="440" w:name="_Toc10882"/>
      <w:bookmarkStart w:id="441" w:name="_Toc2029"/>
      <w:bookmarkStart w:id="442" w:name="_Toc6933"/>
      <w:bookmarkStart w:id="443" w:name="_Toc8916"/>
      <w:r>
        <w:rPr>
          <w:b/>
          <w:bCs w:val="0"/>
          <w:color w:val="auto"/>
          <w:highlight w:val="none"/>
        </w:rPr>
        <w:t>Ⅳ</w:t>
      </w:r>
      <w:r>
        <w:rPr>
          <w:color w:val="auto"/>
          <w:highlight w:val="none"/>
        </w:rPr>
        <w:t xml:space="preserve">  模块化箱模结构</w:t>
      </w:r>
      <w:bookmarkEnd w:id="440"/>
      <w:bookmarkEnd w:id="441"/>
      <w:bookmarkEnd w:id="442"/>
      <w:bookmarkEnd w:id="443"/>
    </w:p>
    <w:p>
      <w:pPr>
        <w:numPr>
          <w:ilvl w:val="0"/>
          <w:numId w:val="11"/>
        </w:numPr>
        <w:rPr>
          <w:bCs/>
          <w:color w:val="auto"/>
          <w:highlight w:val="none"/>
        </w:rPr>
      </w:pPr>
      <w:bookmarkStart w:id="444" w:name="_Toc22599"/>
      <w:bookmarkStart w:id="445" w:name="_Toc17215"/>
      <w:r>
        <w:rPr>
          <w:rFonts w:hint="eastAsia"/>
          <w:bCs/>
          <w:color w:val="auto"/>
          <w:highlight w:val="none"/>
        </w:rPr>
        <w:t>模块化箱模结构体系应符合下列规定：</w:t>
      </w:r>
      <w:bookmarkEnd w:id="444"/>
      <w:bookmarkEnd w:id="445"/>
    </w:p>
    <w:p>
      <w:pPr>
        <w:ind w:firstLine="421" w:firstLineChars="200"/>
        <w:rPr>
          <w:color w:val="auto"/>
          <w:highlight w:val="none"/>
        </w:rPr>
      </w:pPr>
      <w:r>
        <w:rPr>
          <w:b/>
          <w:color w:val="auto"/>
          <w:highlight w:val="none"/>
        </w:rPr>
        <w:t xml:space="preserve">1  </w:t>
      </w:r>
      <w:r>
        <w:rPr>
          <w:rFonts w:hint="eastAsia"/>
          <w:color w:val="auto"/>
          <w:highlight w:val="none"/>
        </w:rPr>
        <w:t>模块化箱模结构可采用框架结构、框架</w:t>
      </w:r>
      <w:r>
        <w:rPr>
          <w:rFonts w:hint="eastAsia"/>
          <w:color w:val="auto"/>
          <w:highlight w:val="none"/>
          <w:lang w:eastAsia="zh-CN"/>
        </w:rPr>
        <w:t>－</w:t>
      </w:r>
      <w:r>
        <w:rPr>
          <w:rFonts w:hint="eastAsia"/>
          <w:color w:val="auto"/>
          <w:highlight w:val="none"/>
        </w:rPr>
        <w:t>剪力墙结构、剪力墙结构或其他结构体系（图5.2.2</w:t>
      </w:r>
      <w:r>
        <w:rPr>
          <w:rFonts w:hint="eastAsia"/>
          <w:color w:val="auto"/>
          <w:highlight w:val="none"/>
          <w:lang w:val="en-US" w:eastAsia="zh-CN"/>
        </w:rPr>
        <w:t>0</w:t>
      </w:r>
      <w:r>
        <w:rPr>
          <w:rFonts w:hint="eastAsia"/>
          <w:color w:val="auto"/>
          <w:highlight w:val="none"/>
        </w:rPr>
        <w:t>）；</w:t>
      </w:r>
    </w:p>
    <w:p>
      <w:pPr>
        <w:ind w:firstLine="421" w:firstLineChars="200"/>
        <w:rPr>
          <w:color w:val="auto"/>
          <w:highlight w:val="none"/>
        </w:rPr>
      </w:pPr>
      <w:r>
        <w:rPr>
          <w:rFonts w:hint="eastAsia"/>
          <w:b/>
          <w:color w:val="auto"/>
          <w:highlight w:val="none"/>
        </w:rPr>
        <w:t>2</w:t>
      </w:r>
      <w:r>
        <w:rPr>
          <w:color w:val="auto"/>
          <w:highlight w:val="none"/>
        </w:rPr>
        <w:t xml:space="preserve">  </w:t>
      </w:r>
      <w:r>
        <w:rPr>
          <w:rFonts w:hint="eastAsia"/>
          <w:color w:val="auto"/>
          <w:highlight w:val="none"/>
        </w:rPr>
        <w:t>模块化箱模结构的传力路径宜与相应现浇结构体系一致；</w:t>
      </w:r>
    </w:p>
    <w:p>
      <w:pPr>
        <w:ind w:firstLine="421" w:firstLineChars="200"/>
        <w:rPr>
          <w:color w:val="auto"/>
          <w:highlight w:val="none"/>
        </w:rPr>
      </w:pPr>
      <w:r>
        <w:rPr>
          <w:b/>
          <w:color w:val="auto"/>
          <w:highlight w:val="none"/>
        </w:rPr>
        <w:t>3</w:t>
      </w:r>
      <w:r>
        <w:rPr>
          <w:rFonts w:hint="eastAsia"/>
          <w:color w:val="auto"/>
          <w:highlight w:val="none"/>
        </w:rPr>
        <w:t xml:space="preserve"> </w:t>
      </w:r>
      <w:r>
        <w:rPr>
          <w:color w:val="auto"/>
          <w:highlight w:val="none"/>
        </w:rPr>
        <w:t xml:space="preserve"> </w:t>
      </w:r>
      <w:r>
        <w:rPr>
          <w:rFonts w:hint="eastAsia"/>
          <w:color w:val="auto"/>
          <w:highlight w:val="none"/>
        </w:rPr>
        <w:t>隔墙和模壳板的设置不应影响结构的整体受力性能。</w:t>
      </w:r>
    </w:p>
    <w:p>
      <w:pPr>
        <w:adjustRightInd w:val="0"/>
        <w:snapToGrid w:val="0"/>
        <w:jc w:val="center"/>
        <w:rPr>
          <w:color w:val="auto"/>
          <w:highlight w:val="none"/>
        </w:rPr>
      </w:pPr>
      <w:r>
        <w:rPr>
          <w:color w:val="auto"/>
          <w:highlight w:val="none"/>
        </w:rPr>
        <w:drawing>
          <wp:inline distT="0" distB="0" distL="114300" distR="114300">
            <wp:extent cx="2782570" cy="1979930"/>
            <wp:effectExtent l="0" t="0" r="6350" b="1270"/>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33"/>
                    <a:stretch>
                      <a:fillRect/>
                    </a:stretch>
                  </pic:blipFill>
                  <pic:spPr>
                    <a:xfrm>
                      <a:off x="0" y="0"/>
                      <a:ext cx="2782570" cy="1979930"/>
                    </a:xfrm>
                    <a:prstGeom prst="rect">
                      <a:avLst/>
                    </a:prstGeom>
                    <a:noFill/>
                    <a:ln>
                      <a:noFill/>
                    </a:ln>
                  </pic:spPr>
                </pic:pic>
              </a:graphicData>
            </a:graphic>
          </wp:inline>
        </w:drawing>
      </w:r>
    </w:p>
    <w:p>
      <w:pPr>
        <w:pStyle w:val="54"/>
        <w:rPr>
          <w:rFonts w:eastAsia="仿宋"/>
          <w:b/>
          <w:bCs/>
          <w:color w:val="auto"/>
          <w:sz w:val="21"/>
          <w:highlight w:val="none"/>
        </w:rPr>
      </w:pPr>
      <w:r>
        <w:rPr>
          <w:rFonts w:eastAsia="仿宋"/>
          <w:b/>
          <w:bCs/>
          <w:color w:val="auto"/>
          <w:sz w:val="21"/>
          <w:highlight w:val="none"/>
        </w:rPr>
        <w:t>图5</w:t>
      </w:r>
      <w:r>
        <w:rPr>
          <w:rFonts w:hint="eastAsia" w:ascii="仿宋" w:hAnsi="仿宋" w:eastAsia="仿宋" w:cs="仿宋"/>
          <w:b/>
          <w:bCs/>
          <w:color w:val="auto"/>
          <w:sz w:val="21"/>
          <w:highlight w:val="none"/>
        </w:rPr>
        <w:t>.</w:t>
      </w:r>
      <w:r>
        <w:rPr>
          <w:rFonts w:eastAsia="仿宋"/>
          <w:b/>
          <w:bCs/>
          <w:color w:val="auto"/>
          <w:sz w:val="21"/>
          <w:highlight w:val="none"/>
        </w:rPr>
        <w:t>2</w:t>
      </w:r>
      <w:r>
        <w:rPr>
          <w:rFonts w:hint="eastAsia" w:ascii="仿宋" w:hAnsi="仿宋" w:eastAsia="仿宋" w:cs="仿宋"/>
          <w:b/>
          <w:bCs/>
          <w:color w:val="auto"/>
          <w:sz w:val="21"/>
          <w:highlight w:val="none"/>
        </w:rPr>
        <w:t>.</w:t>
      </w:r>
      <w:r>
        <w:rPr>
          <w:rFonts w:eastAsia="仿宋"/>
          <w:b/>
          <w:bCs/>
          <w:color w:val="auto"/>
          <w:sz w:val="21"/>
          <w:highlight w:val="none"/>
        </w:rPr>
        <w:t>2</w:t>
      </w:r>
      <w:r>
        <w:rPr>
          <w:rFonts w:hint="eastAsia" w:eastAsia="仿宋"/>
          <w:b/>
          <w:bCs/>
          <w:color w:val="auto"/>
          <w:sz w:val="21"/>
          <w:highlight w:val="none"/>
        </w:rPr>
        <w:t>0</w:t>
      </w:r>
      <w:r>
        <w:rPr>
          <w:rFonts w:eastAsia="仿宋"/>
          <w:b/>
          <w:bCs/>
          <w:color w:val="auto"/>
          <w:sz w:val="21"/>
          <w:highlight w:val="none"/>
        </w:rPr>
        <w:t xml:space="preserve">  模块化箱模结构示意图</w:t>
      </w:r>
    </w:p>
    <w:p>
      <w:pPr>
        <w:pStyle w:val="54"/>
        <w:rPr>
          <w:rFonts w:eastAsia="仿宋"/>
          <w:color w:val="auto"/>
          <w:szCs w:val="18"/>
          <w:highlight w:val="none"/>
        </w:rPr>
      </w:pPr>
      <w:r>
        <w:rPr>
          <w:rFonts w:eastAsia="仿宋"/>
          <w:color w:val="auto"/>
          <w:szCs w:val="18"/>
          <w:highlight w:val="none"/>
        </w:rPr>
        <w:t>1—箱模式模块单元；2—现浇结构柱/剪力墙；3—叠合楼板</w:t>
      </w:r>
    </w:p>
    <w:p>
      <w:pPr>
        <w:numPr>
          <w:ilvl w:val="0"/>
          <w:numId w:val="11"/>
        </w:numPr>
        <w:rPr>
          <w:bCs/>
          <w:color w:val="auto"/>
          <w:highlight w:val="none"/>
        </w:rPr>
      </w:pPr>
      <w:r>
        <w:rPr>
          <w:rFonts w:hint="eastAsia"/>
          <w:bCs/>
          <w:color w:val="auto"/>
          <w:highlight w:val="none"/>
        </w:rPr>
        <w:t>箱模式模块单元中的非承重墙体与现浇构件之间宜采用柔性连接，非承重墙体的抗震设计应符合现行上海市地方标准</w:t>
      </w:r>
      <w:r>
        <w:rPr>
          <w:rFonts w:hint="eastAsia"/>
          <w:color w:val="auto"/>
          <w:highlight w:val="none"/>
        </w:rPr>
        <w:t>《建筑抗震设计标准》DG/TJ 08-9</w:t>
      </w:r>
      <w:r>
        <w:rPr>
          <w:rFonts w:hint="eastAsia"/>
          <w:bCs/>
          <w:color w:val="auto"/>
          <w:highlight w:val="none"/>
        </w:rPr>
        <w:t>中对非结构构件的有关规定。</w:t>
      </w:r>
    </w:p>
    <w:p>
      <w:pPr>
        <w:numPr>
          <w:ilvl w:val="0"/>
          <w:numId w:val="11"/>
        </w:numPr>
        <w:rPr>
          <w:bCs/>
          <w:color w:val="auto"/>
          <w:highlight w:val="none"/>
        </w:rPr>
      </w:pPr>
      <w:r>
        <w:rPr>
          <w:rFonts w:hint="eastAsia"/>
          <w:bCs/>
          <w:color w:val="auto"/>
          <w:highlight w:val="none"/>
        </w:rPr>
        <w:t>模块化箱模结构中框架柱的形状宜简单、规则、便于施工，其与柱模之间应采用柔性材料进行分隔。</w:t>
      </w:r>
    </w:p>
    <w:p>
      <w:pPr>
        <w:numPr>
          <w:ilvl w:val="0"/>
          <w:numId w:val="11"/>
        </w:numPr>
        <w:rPr>
          <w:bCs/>
          <w:color w:val="auto"/>
          <w:highlight w:val="none"/>
        </w:rPr>
      </w:pPr>
      <w:r>
        <w:rPr>
          <w:rFonts w:hint="eastAsia"/>
          <w:bCs/>
          <w:color w:val="auto"/>
          <w:highlight w:val="none"/>
        </w:rPr>
        <w:t>模块化箱模结构中的剪力墙可采用一字形、L形和T形截面，剪力墙端部应与墙模采用柔性材料分隔。</w:t>
      </w:r>
    </w:p>
    <w:p>
      <w:pPr>
        <w:numPr>
          <w:ilvl w:val="0"/>
          <w:numId w:val="11"/>
        </w:numPr>
        <w:rPr>
          <w:bCs/>
          <w:color w:val="auto"/>
          <w:highlight w:val="none"/>
        </w:rPr>
      </w:pPr>
      <w:r>
        <w:rPr>
          <w:rFonts w:hint="eastAsia"/>
          <w:bCs/>
          <w:color w:val="auto"/>
          <w:highlight w:val="none"/>
        </w:rPr>
        <w:t>模块化箱模结构中模块单元与现浇梁、柱、剪力墙和楼板的连接构造应符合下列规定：</w:t>
      </w:r>
    </w:p>
    <w:p>
      <w:pPr>
        <w:ind w:firstLine="421" w:firstLineChars="200"/>
        <w:rPr>
          <w:color w:val="auto"/>
          <w:highlight w:val="none"/>
        </w:rPr>
      </w:pPr>
      <w:bookmarkStart w:id="446" w:name="_Toc9409"/>
      <w:bookmarkStart w:id="447" w:name="_Toc11481"/>
      <w:r>
        <w:rPr>
          <w:b/>
          <w:color w:val="auto"/>
          <w:highlight w:val="none"/>
        </w:rPr>
        <w:t xml:space="preserve">1  </w:t>
      </w:r>
      <w:r>
        <w:rPr>
          <w:color w:val="auto"/>
          <w:highlight w:val="none"/>
        </w:rPr>
        <w:t>现浇混凝土梁</w:t>
      </w:r>
      <w:r>
        <w:rPr>
          <w:rFonts w:hint="eastAsia"/>
          <w:color w:val="auto"/>
          <w:highlight w:val="none"/>
        </w:rPr>
        <w:t>底与梁模之间应</w:t>
      </w:r>
      <w:r>
        <w:rPr>
          <w:color w:val="auto"/>
          <w:highlight w:val="none"/>
        </w:rPr>
        <w:t>设置</w:t>
      </w:r>
      <w:r>
        <w:rPr>
          <w:rFonts w:hint="eastAsia"/>
          <w:color w:val="auto"/>
          <w:highlight w:val="none"/>
        </w:rPr>
        <w:t>柔性层</w:t>
      </w:r>
      <w:r>
        <w:rPr>
          <w:color w:val="auto"/>
          <w:highlight w:val="none"/>
        </w:rPr>
        <w:t>；</w:t>
      </w:r>
      <w:bookmarkEnd w:id="446"/>
      <w:bookmarkEnd w:id="447"/>
    </w:p>
    <w:p>
      <w:pPr>
        <w:ind w:firstLine="421" w:firstLineChars="200"/>
        <w:rPr>
          <w:color w:val="auto"/>
          <w:highlight w:val="none"/>
        </w:rPr>
      </w:pPr>
      <w:r>
        <w:rPr>
          <w:b/>
          <w:color w:val="auto"/>
          <w:highlight w:val="none"/>
        </w:rPr>
        <w:t xml:space="preserve">2  </w:t>
      </w:r>
      <w:r>
        <w:rPr>
          <w:rFonts w:hint="eastAsia"/>
          <w:bCs/>
          <w:color w:val="auto"/>
          <w:highlight w:val="none"/>
        </w:rPr>
        <w:t>墙模、柱模底与结构板之间应设置坐浆层，坐浆料强度等级不宜小于</w:t>
      </w:r>
      <w:r>
        <w:rPr>
          <w:bCs/>
          <w:color w:val="auto"/>
          <w:highlight w:val="none"/>
        </w:rPr>
        <w:t>C60</w:t>
      </w:r>
      <w:r>
        <w:rPr>
          <w:rFonts w:hint="eastAsia"/>
          <w:bCs/>
          <w:color w:val="auto"/>
          <w:highlight w:val="none"/>
        </w:rPr>
        <w:t>，且不应小于墙、柱强度等级</w:t>
      </w:r>
      <w:r>
        <w:rPr>
          <w:bCs/>
          <w:color w:val="auto"/>
          <w:highlight w:val="none"/>
        </w:rPr>
        <w:t>，</w:t>
      </w:r>
      <w:r>
        <w:rPr>
          <w:rFonts w:hint="eastAsia"/>
          <w:color w:val="auto"/>
          <w:highlight w:val="none"/>
        </w:rPr>
        <w:t>坐浆层厚度宜取2</w:t>
      </w:r>
      <w:r>
        <w:rPr>
          <w:color w:val="auto"/>
          <w:highlight w:val="none"/>
        </w:rPr>
        <w:t>0</w:t>
      </w:r>
      <w:r>
        <w:rPr>
          <w:rFonts w:hint="eastAsia"/>
          <w:color w:val="auto"/>
          <w:highlight w:val="none"/>
        </w:rPr>
        <w:t>mm</w:t>
      </w:r>
      <w:r>
        <w:rPr>
          <w:color w:val="auto"/>
          <w:highlight w:val="none"/>
        </w:rPr>
        <w:t>。</w:t>
      </w:r>
    </w:p>
    <w:p>
      <w:pPr>
        <w:numPr>
          <w:ilvl w:val="0"/>
          <w:numId w:val="11"/>
        </w:numPr>
        <w:rPr>
          <w:bCs/>
          <w:color w:val="auto"/>
          <w:highlight w:val="none"/>
        </w:rPr>
      </w:pPr>
      <w:r>
        <w:rPr>
          <w:rFonts w:hint="eastAsia"/>
          <w:bCs/>
          <w:color w:val="auto"/>
          <w:highlight w:val="none"/>
        </w:rPr>
        <w:t>对于框架梁及跨高比大于5的连梁，在梁端箍筋加密区范围内应采用有效措施避免隔墙对梁的受力性能产生影响。</w:t>
      </w:r>
    </w:p>
    <w:p>
      <w:pPr>
        <w:numPr>
          <w:ilvl w:val="0"/>
          <w:numId w:val="11"/>
        </w:numPr>
        <w:rPr>
          <w:bCs/>
          <w:color w:val="auto"/>
          <w:highlight w:val="none"/>
        </w:rPr>
      </w:pPr>
      <w:r>
        <w:rPr>
          <w:rFonts w:hint="eastAsia"/>
          <w:bCs/>
          <w:color w:val="auto"/>
          <w:highlight w:val="none"/>
        </w:rPr>
        <w:t>模块化箱模结构楼板采用桁架预制楼板时，桁架预制板纵向钢筋不伸入支座，应符合下列规定：</w:t>
      </w:r>
    </w:p>
    <w:p>
      <w:pPr>
        <w:ind w:firstLine="421" w:firstLineChars="200"/>
        <w:rPr>
          <w:rFonts w:hint="eastAsia" w:eastAsia="宋体"/>
          <w:color w:val="auto"/>
          <w:szCs w:val="21"/>
          <w:highlight w:val="none"/>
          <w:lang w:eastAsia="zh-CN"/>
        </w:rPr>
      </w:pPr>
      <w:r>
        <w:rPr>
          <w:b/>
          <w:color w:val="auto"/>
          <w:szCs w:val="21"/>
          <w:highlight w:val="none"/>
        </w:rPr>
        <w:t xml:space="preserve">1  </w:t>
      </w:r>
      <w:r>
        <w:rPr>
          <w:rFonts w:hint="eastAsia"/>
          <w:color w:val="auto"/>
          <w:szCs w:val="21"/>
          <w:highlight w:val="none"/>
        </w:rPr>
        <w:t>后浇混凝土叠合层厚度不宜小于桁架预制板厚度，且不应小于7</w:t>
      </w:r>
      <w:r>
        <w:rPr>
          <w:color w:val="auto"/>
          <w:szCs w:val="21"/>
          <w:highlight w:val="none"/>
        </w:rPr>
        <w:t>0</w:t>
      </w:r>
      <w:r>
        <w:rPr>
          <w:rFonts w:hint="eastAsia"/>
          <w:color w:val="auto"/>
          <w:szCs w:val="21"/>
          <w:highlight w:val="none"/>
        </w:rPr>
        <w:t>mm</w:t>
      </w:r>
      <w:r>
        <w:rPr>
          <w:rFonts w:hint="eastAsia"/>
          <w:color w:val="auto"/>
          <w:szCs w:val="21"/>
          <w:highlight w:val="none"/>
          <w:lang w:val="en-US" w:eastAsia="zh-CN"/>
        </w:rPr>
        <w:t>；</w:t>
      </w:r>
    </w:p>
    <w:p>
      <w:pPr>
        <w:ind w:firstLine="421" w:firstLineChars="200"/>
        <w:rPr>
          <w:rFonts w:hint="eastAsia" w:eastAsia="宋体"/>
          <w:color w:val="auto"/>
          <w:szCs w:val="21"/>
          <w:highlight w:val="none"/>
          <w:lang w:eastAsia="zh-CN"/>
        </w:rPr>
      </w:pPr>
      <w:r>
        <w:rPr>
          <w:b/>
          <w:color w:val="auto"/>
          <w:szCs w:val="21"/>
          <w:highlight w:val="none"/>
        </w:rPr>
        <w:t xml:space="preserve">2  </w:t>
      </w:r>
      <w:r>
        <w:rPr>
          <w:rFonts w:hint="eastAsia"/>
          <w:color w:val="auto"/>
          <w:szCs w:val="21"/>
          <w:highlight w:val="none"/>
        </w:rPr>
        <w:t>支座处应设置垂直于板端的桁架预制板纵筋搭接钢筋，搭接钢筋截面积应按《混凝土结构设计标准》GB/T 50010的有关规定计算确定，且不应小于桁架预制板内跨中同方向受力钢筋面积的1/3，搭接钢筋直径不宜小于8mm，间距不宜大于250mm；搭接钢筋强度等级不应低于与搭接钢筋平行的桁架预制板内同向受力钢筋的强度等级</w:t>
      </w:r>
      <w:r>
        <w:rPr>
          <w:rFonts w:hint="eastAsia"/>
          <w:color w:val="auto"/>
          <w:szCs w:val="21"/>
          <w:highlight w:val="none"/>
          <w:lang w:val="en-US" w:eastAsia="zh-CN"/>
        </w:rPr>
        <w:t>；</w:t>
      </w:r>
    </w:p>
    <w:p>
      <w:pPr>
        <w:ind w:firstLine="421" w:firstLineChars="200"/>
        <w:rPr>
          <w:rFonts w:hint="eastAsia" w:eastAsia="宋体"/>
          <w:color w:val="auto"/>
          <w:szCs w:val="21"/>
          <w:highlight w:val="none"/>
          <w:lang w:eastAsia="zh-CN"/>
        </w:rPr>
      </w:pPr>
      <w:r>
        <w:rPr>
          <w:b/>
          <w:color w:val="auto"/>
          <w:szCs w:val="21"/>
          <w:highlight w:val="none"/>
        </w:rPr>
        <w:t xml:space="preserve">3  </w:t>
      </w:r>
      <w:r>
        <w:rPr>
          <w:color w:val="auto"/>
          <w:szCs w:val="21"/>
          <w:highlight w:val="none"/>
        </w:rPr>
        <w:t>对于端节点支座，搭接钢筋伸入后浇叠合层锚固长度</w:t>
      </w:r>
      <w:r>
        <w:rPr>
          <w:i/>
          <w:iCs/>
          <w:color w:val="auto"/>
          <w:szCs w:val="21"/>
          <w:highlight w:val="none"/>
        </w:rPr>
        <w:t>l</w:t>
      </w:r>
      <w:r>
        <w:rPr>
          <w:i/>
          <w:iCs/>
          <w:color w:val="auto"/>
          <w:szCs w:val="21"/>
          <w:highlight w:val="none"/>
          <w:vertAlign w:val="subscript"/>
        </w:rPr>
        <w:t>s</w:t>
      </w:r>
      <w:r>
        <w:rPr>
          <w:color w:val="auto"/>
          <w:szCs w:val="21"/>
          <w:highlight w:val="none"/>
        </w:rPr>
        <w:t>不应小于</w:t>
      </w:r>
      <w:r>
        <w:rPr>
          <w:color w:val="auto"/>
          <w:highlight w:val="none"/>
        </w:rPr>
        <w:t>1.2</w:t>
      </w:r>
      <w:r>
        <w:rPr>
          <w:i/>
          <w:iCs/>
          <w:color w:val="auto"/>
          <w:highlight w:val="none"/>
        </w:rPr>
        <w:t>l</w:t>
      </w:r>
      <w:r>
        <w:rPr>
          <w:i/>
          <w:iCs/>
          <w:color w:val="auto"/>
          <w:highlight w:val="none"/>
          <w:vertAlign w:val="subscript"/>
        </w:rPr>
        <w:t>a</w:t>
      </w:r>
      <w:r>
        <w:rPr>
          <w:color w:val="auto"/>
          <w:szCs w:val="21"/>
          <w:highlight w:val="none"/>
        </w:rPr>
        <w:t>，并应在支承梁或墙的后浇混凝土中锚固，锚固长度不应小于</w:t>
      </w:r>
      <w:r>
        <w:rPr>
          <w:i/>
          <w:iCs/>
          <w:color w:val="auto"/>
          <w:szCs w:val="21"/>
          <w:highlight w:val="none"/>
        </w:rPr>
        <w:t>l</w:t>
      </w:r>
      <w:r>
        <w:rPr>
          <w:rFonts w:ascii="Cambria Math" w:hAnsi="Cambria Math"/>
          <w:i/>
          <w:iCs/>
          <w:color w:val="auto"/>
          <w:szCs w:val="21"/>
          <w:highlight w:val="none"/>
        </w:rPr>
        <w:t>’</w:t>
      </w:r>
      <w:r>
        <w:rPr>
          <w:i/>
          <w:iCs/>
          <w:color w:val="auto"/>
          <w:szCs w:val="21"/>
          <w:highlight w:val="none"/>
          <w:vertAlign w:val="subscript"/>
        </w:rPr>
        <w:t>s</w:t>
      </w:r>
      <w:r>
        <w:rPr>
          <w:color w:val="auto"/>
          <w:szCs w:val="21"/>
          <w:highlight w:val="none"/>
        </w:rPr>
        <w:t>；当板端支座承担负弯矩时，支座内锚固长度</w:t>
      </w:r>
      <w:r>
        <w:rPr>
          <w:i/>
          <w:iCs/>
          <w:color w:val="auto"/>
          <w:szCs w:val="21"/>
          <w:highlight w:val="none"/>
        </w:rPr>
        <w:t>l</w:t>
      </w:r>
      <w:r>
        <w:rPr>
          <w:rFonts w:ascii="Cambria Math" w:hAnsi="Cambria Math"/>
          <w:i/>
          <w:iCs/>
          <w:color w:val="auto"/>
          <w:szCs w:val="21"/>
          <w:highlight w:val="none"/>
        </w:rPr>
        <w:t>’</w:t>
      </w:r>
      <w:r>
        <w:rPr>
          <w:i/>
          <w:iCs/>
          <w:color w:val="auto"/>
          <w:szCs w:val="21"/>
          <w:highlight w:val="none"/>
          <w:vertAlign w:val="subscript"/>
        </w:rPr>
        <w:t>s</w:t>
      </w:r>
      <w:r>
        <w:rPr>
          <w:color w:val="auto"/>
          <w:szCs w:val="21"/>
          <w:highlight w:val="none"/>
        </w:rPr>
        <w:t>不应小于15d且宜伸至支座中心线；当节点区承受正弯矩时，支座内锚固长度</w:t>
      </w:r>
      <w:r>
        <w:rPr>
          <w:i/>
          <w:iCs/>
          <w:color w:val="auto"/>
          <w:szCs w:val="21"/>
          <w:highlight w:val="none"/>
        </w:rPr>
        <w:t>l</w:t>
      </w:r>
      <w:r>
        <w:rPr>
          <w:rFonts w:ascii="Cambria Math" w:hAnsi="Cambria Math"/>
          <w:i/>
          <w:iCs/>
          <w:color w:val="auto"/>
          <w:szCs w:val="21"/>
          <w:highlight w:val="none"/>
        </w:rPr>
        <w:t>’</w:t>
      </w:r>
      <w:r>
        <w:rPr>
          <w:i/>
          <w:iCs/>
          <w:color w:val="auto"/>
          <w:szCs w:val="21"/>
          <w:highlight w:val="none"/>
          <w:vertAlign w:val="subscript"/>
        </w:rPr>
        <w:t>s</w:t>
      </w:r>
      <w:r>
        <w:rPr>
          <w:color w:val="auto"/>
          <w:szCs w:val="21"/>
          <w:highlight w:val="none"/>
        </w:rPr>
        <w:t>不应小于受拉钢筋锚固长度</w:t>
      </w:r>
      <w:r>
        <w:rPr>
          <w:i/>
          <w:iCs/>
          <w:color w:val="auto"/>
          <w:highlight w:val="none"/>
        </w:rPr>
        <w:t>l</w:t>
      </w:r>
      <w:r>
        <w:rPr>
          <w:i/>
          <w:iCs/>
          <w:color w:val="auto"/>
          <w:highlight w:val="none"/>
          <w:vertAlign w:val="subscript"/>
        </w:rPr>
        <w:t>a</w:t>
      </w:r>
      <w:r>
        <w:rPr>
          <w:rFonts w:hint="eastAsia"/>
          <w:i/>
          <w:iCs/>
          <w:color w:val="auto"/>
          <w:highlight w:val="none"/>
          <w:vertAlign w:val="subscript"/>
          <w:lang w:eastAsia="zh-CN"/>
        </w:rPr>
        <w:t>（</w:t>
      </w:r>
      <w:r>
        <w:rPr>
          <w:color w:val="auto"/>
          <w:szCs w:val="21"/>
          <w:highlight w:val="none"/>
        </w:rPr>
        <w:t>图</w:t>
      </w:r>
      <w:r>
        <w:rPr>
          <w:rFonts w:hint="eastAsia"/>
          <w:color w:val="auto"/>
          <w:szCs w:val="21"/>
          <w:highlight w:val="none"/>
        </w:rPr>
        <w:t>5.2.2</w:t>
      </w:r>
      <w:r>
        <w:rPr>
          <w:rFonts w:hint="eastAsia"/>
          <w:color w:val="auto"/>
          <w:szCs w:val="21"/>
          <w:highlight w:val="none"/>
          <w:lang w:val="en-US" w:eastAsia="zh-CN"/>
        </w:rPr>
        <w:t>6</w:t>
      </w:r>
      <w:r>
        <w:rPr>
          <w:rFonts w:hint="eastAsia"/>
          <w:color w:val="auto"/>
          <w:szCs w:val="21"/>
          <w:highlight w:val="none"/>
        </w:rPr>
        <w:t>-</w:t>
      </w:r>
      <w:r>
        <w:rPr>
          <w:color w:val="auto"/>
          <w:szCs w:val="21"/>
          <w:highlight w:val="none"/>
        </w:rPr>
        <w:t>a</w:t>
      </w:r>
      <w:r>
        <w:rPr>
          <w:rFonts w:hint="eastAsia"/>
          <w:color w:val="auto"/>
          <w:szCs w:val="21"/>
          <w:highlight w:val="none"/>
          <w:lang w:eastAsia="zh-CN"/>
        </w:rPr>
        <w:t>）</w:t>
      </w:r>
      <w:r>
        <w:rPr>
          <w:color w:val="auto"/>
          <w:szCs w:val="21"/>
          <w:highlight w:val="none"/>
        </w:rPr>
        <w:t>。对于中节点支座，搭接钢筋在节点区应贯通，且每侧伸入后浇叠合层锚固长度</w:t>
      </w:r>
      <w:r>
        <w:rPr>
          <w:i/>
          <w:iCs/>
          <w:color w:val="auto"/>
          <w:szCs w:val="21"/>
          <w:highlight w:val="none"/>
        </w:rPr>
        <w:t>l</w:t>
      </w:r>
      <w:r>
        <w:rPr>
          <w:i/>
          <w:iCs/>
          <w:color w:val="auto"/>
          <w:szCs w:val="21"/>
          <w:highlight w:val="none"/>
          <w:vertAlign w:val="subscript"/>
        </w:rPr>
        <w:t>s</w:t>
      </w:r>
      <w:r>
        <w:rPr>
          <w:color w:val="auto"/>
          <w:szCs w:val="21"/>
          <w:highlight w:val="none"/>
        </w:rPr>
        <w:t>不应小于</w:t>
      </w:r>
      <w:r>
        <w:rPr>
          <w:color w:val="auto"/>
          <w:highlight w:val="none"/>
        </w:rPr>
        <w:t>1.2</w:t>
      </w:r>
      <w:r>
        <w:rPr>
          <w:i/>
          <w:iCs/>
          <w:color w:val="auto"/>
          <w:highlight w:val="none"/>
        </w:rPr>
        <w:t>l</w:t>
      </w:r>
      <w:r>
        <w:rPr>
          <w:i/>
          <w:iCs/>
          <w:color w:val="auto"/>
          <w:highlight w:val="none"/>
          <w:vertAlign w:val="subscript"/>
        </w:rPr>
        <w:t>a</w:t>
      </w:r>
      <w:r>
        <w:rPr>
          <w:rFonts w:hint="eastAsia"/>
          <w:i/>
          <w:iCs/>
          <w:color w:val="auto"/>
          <w:highlight w:val="none"/>
          <w:vertAlign w:val="subscript"/>
          <w:lang w:eastAsia="zh-CN"/>
        </w:rPr>
        <w:t>（</w:t>
      </w:r>
      <w:r>
        <w:rPr>
          <w:color w:val="auto"/>
          <w:szCs w:val="21"/>
          <w:highlight w:val="none"/>
        </w:rPr>
        <w:t>图</w:t>
      </w:r>
      <w:r>
        <w:rPr>
          <w:rFonts w:hint="eastAsia"/>
          <w:color w:val="auto"/>
          <w:szCs w:val="21"/>
          <w:highlight w:val="none"/>
        </w:rPr>
        <w:t>5.2.2</w:t>
      </w:r>
      <w:r>
        <w:rPr>
          <w:rFonts w:hint="eastAsia"/>
          <w:color w:val="auto"/>
          <w:szCs w:val="21"/>
          <w:highlight w:val="none"/>
          <w:lang w:val="en-US" w:eastAsia="zh-CN"/>
        </w:rPr>
        <w:t>6</w:t>
      </w:r>
      <w:r>
        <w:rPr>
          <w:rFonts w:hint="eastAsia"/>
          <w:color w:val="auto"/>
          <w:szCs w:val="21"/>
          <w:highlight w:val="none"/>
        </w:rPr>
        <w:t>-</w:t>
      </w:r>
      <w:r>
        <w:rPr>
          <w:color w:val="auto"/>
          <w:szCs w:val="21"/>
          <w:highlight w:val="none"/>
        </w:rPr>
        <w:t>b</w:t>
      </w:r>
      <w:r>
        <w:rPr>
          <w:rFonts w:hint="eastAsia"/>
          <w:color w:val="auto"/>
          <w:szCs w:val="21"/>
          <w:highlight w:val="none"/>
          <w:lang w:eastAsia="zh-CN"/>
        </w:rPr>
        <w:t>）</w:t>
      </w:r>
      <w:r>
        <w:rPr>
          <w:rFonts w:hint="eastAsia"/>
          <w:color w:val="auto"/>
          <w:szCs w:val="21"/>
          <w:highlight w:val="none"/>
          <w:lang w:val="en-US" w:eastAsia="zh-CN"/>
        </w:rPr>
        <w:t>；</w:t>
      </w:r>
    </w:p>
    <w:p>
      <w:pPr>
        <w:ind w:firstLine="421" w:firstLineChars="200"/>
        <w:rPr>
          <w:rFonts w:hint="eastAsia" w:eastAsia="宋体"/>
          <w:color w:val="auto"/>
          <w:szCs w:val="21"/>
          <w:highlight w:val="none"/>
          <w:lang w:eastAsia="zh-CN"/>
        </w:rPr>
      </w:pPr>
      <w:r>
        <w:rPr>
          <w:b/>
          <w:color w:val="auto"/>
          <w:szCs w:val="21"/>
          <w:highlight w:val="none"/>
        </w:rPr>
        <w:t xml:space="preserve">4  </w:t>
      </w:r>
      <w:r>
        <w:rPr>
          <w:rFonts w:hint="eastAsia"/>
          <w:color w:val="auto"/>
          <w:szCs w:val="21"/>
          <w:highlight w:val="none"/>
        </w:rPr>
        <w:t>垂直于搭接钢筋的方向应布置横向分布钢筋，在一侧纵向钢筋的搭接范围内应设置不少于2道横向分布钢筋，且钢筋直径不宜小于6mm</w:t>
      </w:r>
      <w:r>
        <w:rPr>
          <w:rFonts w:hint="eastAsia"/>
          <w:color w:val="auto"/>
          <w:szCs w:val="21"/>
          <w:highlight w:val="none"/>
          <w:lang w:val="en-US" w:eastAsia="zh-CN"/>
        </w:rPr>
        <w:t>；</w:t>
      </w:r>
    </w:p>
    <w:p>
      <w:pPr>
        <w:ind w:firstLine="421" w:firstLineChars="200"/>
        <w:rPr>
          <w:color w:val="auto"/>
          <w:szCs w:val="21"/>
          <w:highlight w:val="none"/>
        </w:rPr>
      </w:pPr>
      <w:r>
        <w:rPr>
          <w:b/>
          <w:color w:val="auto"/>
          <w:szCs w:val="21"/>
          <w:highlight w:val="none"/>
        </w:rPr>
        <w:t xml:space="preserve">5  </w:t>
      </w:r>
      <w:r>
        <w:rPr>
          <w:rFonts w:hint="eastAsia"/>
          <w:color w:val="auto"/>
          <w:szCs w:val="21"/>
          <w:highlight w:val="none"/>
        </w:rPr>
        <w:t>当搭接钢筋紧贴叠合面时，板端顶面应设置倒角，倒角尺寸不宜小于15mm×15mm。</w:t>
      </w:r>
    </w:p>
    <w:tbl>
      <w:tblPr>
        <w:tblStyle w:val="24"/>
        <w:tblW w:w="0" w:type="auto"/>
        <w:jc w:val="center"/>
        <w:tblLayout w:type="autofit"/>
        <w:tblCellMar>
          <w:top w:w="0" w:type="dxa"/>
          <w:left w:w="108" w:type="dxa"/>
          <w:bottom w:w="0" w:type="dxa"/>
          <w:right w:w="108" w:type="dxa"/>
        </w:tblCellMar>
      </w:tblPr>
      <w:tblGrid>
        <w:gridCol w:w="4704"/>
        <w:gridCol w:w="4776"/>
      </w:tblGrid>
      <w:tr>
        <w:tblPrEx>
          <w:tblCellMar>
            <w:top w:w="0" w:type="dxa"/>
            <w:left w:w="108" w:type="dxa"/>
            <w:bottom w:w="0" w:type="dxa"/>
            <w:right w:w="108" w:type="dxa"/>
          </w:tblCellMar>
        </w:tblPrEx>
        <w:trPr>
          <w:jc w:val="center"/>
        </w:trPr>
        <w:tc>
          <w:tcPr>
            <w:tcW w:w="4740" w:type="dxa"/>
            <w:vAlign w:val="center"/>
          </w:tcPr>
          <w:p>
            <w:pPr>
              <w:adjustRightInd w:val="0"/>
              <w:snapToGrid w:val="0"/>
              <w:jc w:val="center"/>
              <w:rPr>
                <w:color w:val="auto"/>
                <w:szCs w:val="21"/>
                <w:highlight w:val="none"/>
              </w:rPr>
            </w:pPr>
            <w:r>
              <w:rPr>
                <w:color w:val="auto"/>
                <w:highlight w:val="none"/>
              </w:rPr>
              <w:drawing>
                <wp:inline distT="0" distB="0" distL="114300" distR="114300">
                  <wp:extent cx="1874520" cy="1619885"/>
                  <wp:effectExtent l="0" t="0" r="0" b="10795"/>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34"/>
                          <a:stretch>
                            <a:fillRect/>
                          </a:stretch>
                        </pic:blipFill>
                        <pic:spPr>
                          <a:xfrm>
                            <a:off x="0" y="0"/>
                            <a:ext cx="1874520" cy="1619885"/>
                          </a:xfrm>
                          <a:prstGeom prst="rect">
                            <a:avLst/>
                          </a:prstGeom>
                          <a:noFill/>
                          <a:ln>
                            <a:noFill/>
                          </a:ln>
                        </pic:spPr>
                      </pic:pic>
                    </a:graphicData>
                  </a:graphic>
                </wp:inline>
              </w:drawing>
            </w:r>
          </w:p>
        </w:tc>
        <w:tc>
          <w:tcPr>
            <w:tcW w:w="4740" w:type="dxa"/>
            <w:vAlign w:val="center"/>
          </w:tcPr>
          <w:p>
            <w:pPr>
              <w:adjustRightInd w:val="0"/>
              <w:snapToGrid w:val="0"/>
              <w:jc w:val="center"/>
              <w:rPr>
                <w:color w:val="auto"/>
                <w:szCs w:val="21"/>
                <w:highlight w:val="none"/>
              </w:rPr>
            </w:pPr>
            <w:r>
              <w:rPr>
                <w:color w:val="auto"/>
                <w:highlight w:val="none"/>
              </w:rPr>
              <w:drawing>
                <wp:inline distT="0" distB="0" distL="114300" distR="114300">
                  <wp:extent cx="2890520" cy="1619885"/>
                  <wp:effectExtent l="0" t="0" r="5080" b="10795"/>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35"/>
                          <a:stretch>
                            <a:fillRect/>
                          </a:stretch>
                        </pic:blipFill>
                        <pic:spPr>
                          <a:xfrm>
                            <a:off x="0" y="0"/>
                            <a:ext cx="2890520" cy="1619885"/>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4740" w:type="dxa"/>
            <w:vAlign w:val="center"/>
          </w:tcPr>
          <w:p>
            <w:pPr>
              <w:pStyle w:val="54"/>
              <w:rPr>
                <w:rFonts w:eastAsia="仿宋"/>
                <w:bCs/>
                <w:color w:val="auto"/>
                <w:szCs w:val="18"/>
                <w:highlight w:val="none"/>
              </w:rPr>
            </w:pPr>
            <w:r>
              <w:rPr>
                <w:rFonts w:eastAsia="仿宋"/>
                <w:bCs/>
                <w:color w:val="auto"/>
                <w:szCs w:val="18"/>
                <w:highlight w:val="none"/>
              </w:rPr>
              <w:t>(a)  边节点</w:t>
            </w:r>
          </w:p>
        </w:tc>
        <w:tc>
          <w:tcPr>
            <w:tcW w:w="4740" w:type="dxa"/>
            <w:vAlign w:val="center"/>
          </w:tcPr>
          <w:p>
            <w:pPr>
              <w:pStyle w:val="54"/>
              <w:rPr>
                <w:rFonts w:eastAsia="仿宋"/>
                <w:bCs/>
                <w:color w:val="auto"/>
                <w:szCs w:val="18"/>
                <w:highlight w:val="none"/>
              </w:rPr>
            </w:pPr>
            <w:r>
              <w:rPr>
                <w:rFonts w:eastAsia="仿宋"/>
                <w:bCs/>
                <w:color w:val="auto"/>
                <w:szCs w:val="18"/>
                <w:highlight w:val="none"/>
              </w:rPr>
              <w:t>(b)  中节点</w:t>
            </w:r>
          </w:p>
        </w:tc>
      </w:tr>
    </w:tbl>
    <w:p>
      <w:pPr>
        <w:pStyle w:val="54"/>
        <w:rPr>
          <w:rFonts w:eastAsia="仿宋"/>
          <w:b/>
          <w:bCs/>
          <w:color w:val="auto"/>
          <w:sz w:val="21"/>
          <w:highlight w:val="none"/>
        </w:rPr>
      </w:pPr>
      <w:r>
        <w:rPr>
          <w:rFonts w:eastAsia="仿宋"/>
          <w:b/>
          <w:bCs/>
          <w:color w:val="auto"/>
          <w:sz w:val="21"/>
          <w:highlight w:val="none"/>
        </w:rPr>
        <w:t>图5</w:t>
      </w:r>
      <w:r>
        <w:rPr>
          <w:rFonts w:hint="eastAsia" w:ascii="仿宋" w:hAnsi="仿宋" w:eastAsia="仿宋" w:cs="仿宋"/>
          <w:b/>
          <w:bCs/>
          <w:color w:val="auto"/>
          <w:sz w:val="21"/>
          <w:highlight w:val="none"/>
        </w:rPr>
        <w:t>.</w:t>
      </w:r>
      <w:r>
        <w:rPr>
          <w:rFonts w:eastAsia="仿宋"/>
          <w:b/>
          <w:bCs/>
          <w:color w:val="auto"/>
          <w:sz w:val="21"/>
          <w:highlight w:val="none"/>
        </w:rPr>
        <w:t>2</w:t>
      </w:r>
      <w:r>
        <w:rPr>
          <w:rFonts w:hint="eastAsia" w:ascii="仿宋" w:hAnsi="仿宋" w:eastAsia="仿宋" w:cs="仿宋"/>
          <w:b/>
          <w:bCs/>
          <w:color w:val="auto"/>
          <w:sz w:val="21"/>
          <w:highlight w:val="none"/>
        </w:rPr>
        <w:t>.</w:t>
      </w:r>
      <w:r>
        <w:rPr>
          <w:rFonts w:eastAsia="仿宋"/>
          <w:b/>
          <w:bCs/>
          <w:color w:val="auto"/>
          <w:sz w:val="21"/>
          <w:highlight w:val="none"/>
        </w:rPr>
        <w:t>2</w:t>
      </w:r>
      <w:r>
        <w:rPr>
          <w:rFonts w:hint="eastAsia" w:eastAsia="仿宋"/>
          <w:b/>
          <w:bCs/>
          <w:color w:val="auto"/>
          <w:sz w:val="21"/>
          <w:highlight w:val="none"/>
        </w:rPr>
        <w:t>6</w:t>
      </w:r>
      <w:r>
        <w:rPr>
          <w:rFonts w:eastAsia="仿宋"/>
          <w:b/>
          <w:bCs/>
          <w:color w:val="auto"/>
          <w:sz w:val="21"/>
          <w:highlight w:val="none"/>
        </w:rPr>
        <w:t xml:space="preserve">  无外伸纵筋的板端支座构造示意</w:t>
      </w:r>
    </w:p>
    <w:p>
      <w:pPr>
        <w:pStyle w:val="54"/>
        <w:rPr>
          <w:rFonts w:eastAsia="仿宋"/>
          <w:bCs/>
          <w:color w:val="auto"/>
          <w:szCs w:val="18"/>
          <w:highlight w:val="none"/>
        </w:rPr>
      </w:pPr>
      <w:r>
        <w:rPr>
          <w:rFonts w:eastAsia="仿宋"/>
          <w:bCs/>
          <w:color w:val="auto"/>
          <w:szCs w:val="18"/>
          <w:highlight w:val="none"/>
        </w:rPr>
        <w:t>1—支承梁或墙；2—桁架预制板；3—桁架预制板纵筋；4—模块墙板；5—桁架钢筋；</w:t>
      </w:r>
    </w:p>
    <w:p>
      <w:pPr>
        <w:pStyle w:val="54"/>
        <w:rPr>
          <w:rFonts w:eastAsia="仿宋"/>
          <w:bCs/>
          <w:color w:val="auto"/>
          <w:szCs w:val="18"/>
          <w:highlight w:val="none"/>
        </w:rPr>
      </w:pPr>
      <w:r>
        <w:rPr>
          <w:rFonts w:eastAsia="仿宋"/>
          <w:bCs/>
          <w:color w:val="auto"/>
          <w:szCs w:val="18"/>
          <w:highlight w:val="none"/>
        </w:rPr>
        <w:t>6—支座处桁架预制板纵筋搭接钢筋；7—横向分布钢筋</w:t>
      </w:r>
    </w:p>
    <w:p>
      <w:pPr>
        <w:numPr>
          <w:ilvl w:val="0"/>
          <w:numId w:val="11"/>
        </w:numPr>
        <w:rPr>
          <w:bCs/>
          <w:color w:val="auto"/>
          <w:highlight w:val="none"/>
        </w:rPr>
      </w:pPr>
      <w:r>
        <w:rPr>
          <w:rFonts w:hint="eastAsia"/>
          <w:bCs/>
          <w:color w:val="auto"/>
          <w:highlight w:val="none"/>
        </w:rPr>
        <w:t>模块化箱模结构中模块单元的外墙预制部分与现浇竖向结构构件之间的水平连接应采用HPB300级钢筋连接，直径宜选用8mm，连接长度不宜小于钢筋锚固长度，间距不宜大于600mm。</w:t>
      </w:r>
    </w:p>
    <w:p>
      <w:pPr>
        <w:numPr>
          <w:ilvl w:val="0"/>
          <w:numId w:val="11"/>
        </w:numPr>
        <w:rPr>
          <w:color w:val="auto"/>
          <w:highlight w:val="none"/>
        </w:rPr>
      </w:pPr>
      <w:r>
        <w:rPr>
          <w:rFonts w:hint="eastAsia"/>
          <w:bCs/>
          <w:color w:val="auto"/>
          <w:highlight w:val="none"/>
        </w:rPr>
        <w:t>阳台板、空调板等悬挑结构宜与模块单元整体预制。当采用叠合构件时，叠合构件的负弯矩钢筋应在相邻叠合板的后浇混凝土中可靠锚固。</w:t>
      </w:r>
    </w:p>
    <w:p>
      <w:pPr>
        <w:pStyle w:val="4"/>
        <w:rPr>
          <w:color w:val="auto"/>
          <w:highlight w:val="none"/>
        </w:rPr>
      </w:pPr>
      <w:bookmarkStart w:id="448" w:name="_Toc25205"/>
      <w:bookmarkStart w:id="449" w:name="_Toc6458"/>
      <w:bookmarkStart w:id="450" w:name="_Toc25871"/>
      <w:bookmarkStart w:id="451" w:name="_Toc4564"/>
      <w:bookmarkStart w:id="452" w:name="_Toc23199"/>
      <w:bookmarkStart w:id="453" w:name="_Toc21837"/>
      <w:bookmarkStart w:id="454" w:name="_Toc9205"/>
      <w:bookmarkStart w:id="455" w:name="_Toc19655"/>
      <w:bookmarkStart w:id="456" w:name="_Toc32380"/>
      <w:bookmarkStart w:id="457" w:name="_Toc21508"/>
      <w:bookmarkStart w:id="458" w:name="_Toc30895"/>
      <w:bookmarkStart w:id="459" w:name="_Toc5538"/>
      <w:bookmarkStart w:id="460" w:name="_Toc28808"/>
      <w:bookmarkStart w:id="461" w:name="_Toc5804"/>
      <w:bookmarkStart w:id="462" w:name="_Toc2604"/>
      <w:bookmarkStart w:id="463" w:name="_Toc22868"/>
      <w:bookmarkStart w:id="464" w:name="_Toc31209"/>
      <w:bookmarkStart w:id="465" w:name="_Toc14896"/>
      <w:bookmarkStart w:id="466" w:name="_Toc17573"/>
      <w:bookmarkStart w:id="467" w:name="_Toc14047"/>
      <w:bookmarkStart w:id="468" w:name="_Toc15459"/>
      <w:bookmarkStart w:id="469" w:name="_Toc23842"/>
      <w:bookmarkStart w:id="470" w:name="_Toc15004"/>
      <w:bookmarkStart w:id="471" w:name="_Toc6277"/>
      <w:bookmarkStart w:id="472" w:name="_Toc15085"/>
      <w:bookmarkStart w:id="473" w:name="_Toc28900"/>
      <w:bookmarkStart w:id="474" w:name="_Toc15764"/>
      <w:bookmarkStart w:id="475" w:name="_Toc5229"/>
      <w:bookmarkStart w:id="476" w:name="_Toc26503"/>
      <w:bookmarkStart w:id="477" w:name="_Toc12218"/>
      <w:bookmarkStart w:id="478" w:name="_Toc4934"/>
      <w:bookmarkStart w:id="479" w:name="_Toc28412"/>
      <w:bookmarkStart w:id="480" w:name="_Toc22990"/>
      <w:r>
        <w:rPr>
          <w:b/>
          <w:bCs w:val="0"/>
          <w:color w:val="auto"/>
          <w:highlight w:val="none"/>
        </w:rPr>
        <w:t>5</w:t>
      </w:r>
      <w:r>
        <w:rPr>
          <w:rFonts w:hint="eastAsia" w:ascii="宋体" w:hAnsi="宋体" w:eastAsia="宋体" w:cs="宋体"/>
          <w:b/>
          <w:bCs w:val="0"/>
          <w:color w:val="auto"/>
          <w:highlight w:val="none"/>
        </w:rPr>
        <w:t>.</w:t>
      </w:r>
      <w:r>
        <w:rPr>
          <w:b/>
          <w:bCs w:val="0"/>
          <w:color w:val="auto"/>
          <w:highlight w:val="none"/>
        </w:rPr>
        <w:t>3</w:t>
      </w:r>
      <w:r>
        <w:rPr>
          <w:color w:val="auto"/>
          <w:highlight w:val="none"/>
        </w:rPr>
        <w:t xml:space="preserve">  </w:t>
      </w:r>
      <w:r>
        <w:rPr>
          <w:rFonts w:hint="eastAsia"/>
          <w:color w:val="auto"/>
          <w:highlight w:val="none"/>
        </w:rPr>
        <w:t>结构分析</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r>
        <w:rPr>
          <w:rFonts w:hint="eastAsia"/>
          <w:color w:val="auto"/>
          <w:highlight w:val="none"/>
        </w:rPr>
        <w:t>与计算</w:t>
      </w:r>
      <w:bookmarkEnd w:id="475"/>
      <w:bookmarkEnd w:id="476"/>
      <w:bookmarkEnd w:id="477"/>
      <w:bookmarkEnd w:id="478"/>
      <w:bookmarkEnd w:id="479"/>
      <w:bookmarkEnd w:id="480"/>
    </w:p>
    <w:p>
      <w:pPr>
        <w:numPr>
          <w:ilvl w:val="0"/>
          <w:numId w:val="12"/>
        </w:numPr>
        <w:rPr>
          <w:color w:val="auto"/>
          <w:highlight w:val="none"/>
        </w:rPr>
      </w:pPr>
      <w:r>
        <w:rPr>
          <w:rFonts w:hint="eastAsia"/>
          <w:color w:val="auto"/>
          <w:highlight w:val="none"/>
        </w:rPr>
        <w:t>模块化结构进行计算分析时的荷载、地震作用以及作用组合，应符合现行国家标准《混凝土结构通用规范》GB 55008、《建筑结构荷载规范》GB 50009、行业标准《高层建筑混凝土结构技术规程》JGJ 3和上海市地方标准《建筑抗震设计标准》DG/TJ 08-9的有关规定。</w:t>
      </w:r>
    </w:p>
    <w:p>
      <w:pPr>
        <w:numPr>
          <w:ilvl w:val="0"/>
          <w:numId w:val="12"/>
        </w:numPr>
        <w:rPr>
          <w:color w:val="auto"/>
          <w:highlight w:val="none"/>
        </w:rPr>
      </w:pPr>
      <w:r>
        <w:rPr>
          <w:rFonts w:hint="eastAsia"/>
          <w:color w:val="auto"/>
          <w:highlight w:val="none"/>
        </w:rPr>
        <w:t>模块化结构构件应进行正常使用极限状态的验算，结构构件正截面受力裂缝的控制和结构中受弯构件的挠度限值应符合现行国家标准《混凝土结构设计标准》GB/T 50010的有关规定。</w:t>
      </w:r>
    </w:p>
    <w:p>
      <w:pPr>
        <w:pStyle w:val="5"/>
        <w:rPr>
          <w:color w:val="auto"/>
          <w:highlight w:val="none"/>
        </w:rPr>
      </w:pPr>
      <w:bookmarkStart w:id="481" w:name="_Toc7817"/>
      <w:bookmarkStart w:id="482" w:name="_Toc14403"/>
      <w:bookmarkStart w:id="483" w:name="_Toc32453"/>
      <w:bookmarkStart w:id="484" w:name="_Toc8709"/>
      <w:r>
        <w:rPr>
          <w:b/>
          <w:bCs w:val="0"/>
          <w:color w:val="auto"/>
          <w:highlight w:val="none"/>
        </w:rPr>
        <w:t>I</w:t>
      </w:r>
      <w:r>
        <w:rPr>
          <w:color w:val="auto"/>
          <w:highlight w:val="none"/>
        </w:rPr>
        <w:t xml:space="preserve">  </w:t>
      </w:r>
      <w:r>
        <w:rPr>
          <w:rFonts w:hint="eastAsia"/>
          <w:color w:val="auto"/>
          <w:highlight w:val="none"/>
        </w:rPr>
        <w:t>模块化框架结构</w:t>
      </w:r>
      <w:bookmarkEnd w:id="481"/>
      <w:bookmarkEnd w:id="482"/>
      <w:bookmarkEnd w:id="483"/>
      <w:bookmarkEnd w:id="484"/>
    </w:p>
    <w:p>
      <w:pPr>
        <w:numPr>
          <w:ilvl w:val="0"/>
          <w:numId w:val="12"/>
        </w:numPr>
        <w:rPr>
          <w:color w:val="auto"/>
          <w:highlight w:val="none"/>
        </w:rPr>
      </w:pPr>
      <w:r>
        <w:rPr>
          <w:rFonts w:hint="eastAsia"/>
          <w:color w:val="auto"/>
          <w:highlight w:val="none"/>
        </w:rPr>
        <w:t>模块单元之间的连接应进行节点承载力验算，并应符合下列规定：</w:t>
      </w:r>
    </w:p>
    <w:p>
      <w:pPr>
        <w:ind w:firstLine="421" w:firstLineChars="200"/>
        <w:rPr>
          <w:bCs/>
          <w:color w:val="auto"/>
          <w:szCs w:val="21"/>
          <w:highlight w:val="none"/>
        </w:rPr>
      </w:pPr>
      <w:r>
        <w:rPr>
          <w:b/>
          <w:bCs/>
          <w:color w:val="auto"/>
          <w:szCs w:val="21"/>
          <w:highlight w:val="none"/>
        </w:rPr>
        <w:t>1</w:t>
      </w:r>
      <w:r>
        <w:rPr>
          <w:bCs/>
          <w:color w:val="auto"/>
          <w:szCs w:val="21"/>
          <w:highlight w:val="none"/>
        </w:rPr>
        <w:t xml:space="preserve">  </w:t>
      </w:r>
      <w:r>
        <w:rPr>
          <w:rFonts w:hint="eastAsia"/>
          <w:bCs/>
          <w:color w:val="auto"/>
          <w:szCs w:val="21"/>
          <w:highlight w:val="none"/>
        </w:rPr>
        <w:t>对于模块</w:t>
      </w:r>
      <w:r>
        <w:rPr>
          <w:rFonts w:hint="eastAsia"/>
          <w:color w:val="auto"/>
          <w:highlight w:val="none"/>
        </w:rPr>
        <w:t>单元</w:t>
      </w:r>
      <w:r>
        <w:rPr>
          <w:rFonts w:hint="eastAsia"/>
          <w:bCs/>
          <w:color w:val="auto"/>
          <w:szCs w:val="21"/>
          <w:highlight w:val="none"/>
        </w:rPr>
        <w:t>间水平连接，</w:t>
      </w:r>
      <w:r>
        <w:rPr>
          <w:color w:val="auto"/>
          <w:szCs w:val="21"/>
          <w:highlight w:val="none"/>
        </w:rPr>
        <w:t>根据接头受力、施工工艺等要求</w:t>
      </w:r>
      <w:r>
        <w:rPr>
          <w:rFonts w:hint="eastAsia"/>
          <w:color w:val="auto"/>
          <w:szCs w:val="21"/>
          <w:highlight w:val="none"/>
        </w:rPr>
        <w:t>，</w:t>
      </w:r>
      <w:r>
        <w:rPr>
          <w:rFonts w:hint="eastAsia"/>
          <w:bCs/>
          <w:color w:val="auto"/>
          <w:szCs w:val="21"/>
          <w:highlight w:val="none"/>
        </w:rPr>
        <w:t>可采用连接钢板或后浇混凝土</w:t>
      </w:r>
      <w:r>
        <w:rPr>
          <w:bCs/>
          <w:color w:val="auto"/>
          <w:szCs w:val="21"/>
          <w:highlight w:val="none"/>
        </w:rPr>
        <w:t>等有效传递两个方向水平力的连接方式</w:t>
      </w:r>
      <w:r>
        <w:rPr>
          <w:rFonts w:hint="eastAsia"/>
          <w:bCs/>
          <w:color w:val="auto"/>
          <w:szCs w:val="21"/>
          <w:highlight w:val="none"/>
        </w:rPr>
        <w:t>；</w:t>
      </w:r>
    </w:p>
    <w:p>
      <w:pPr>
        <w:ind w:firstLine="421" w:firstLineChars="200"/>
        <w:rPr>
          <w:color w:val="auto"/>
          <w:szCs w:val="21"/>
          <w:highlight w:val="none"/>
        </w:rPr>
      </w:pPr>
      <w:r>
        <w:rPr>
          <w:b/>
          <w:bCs/>
          <w:color w:val="auto"/>
          <w:szCs w:val="21"/>
          <w:highlight w:val="none"/>
        </w:rPr>
        <w:t>2</w:t>
      </w:r>
      <w:r>
        <w:rPr>
          <w:color w:val="auto"/>
          <w:szCs w:val="21"/>
          <w:highlight w:val="none"/>
        </w:rPr>
        <w:t xml:space="preserve">  对于模块单元间竖向连接，根据接头受力、施工工艺等要求</w:t>
      </w:r>
      <w:r>
        <w:rPr>
          <w:rFonts w:hint="eastAsia"/>
          <w:color w:val="auto"/>
          <w:szCs w:val="21"/>
          <w:highlight w:val="none"/>
        </w:rPr>
        <w:t>，可</w:t>
      </w:r>
      <w:r>
        <w:rPr>
          <w:color w:val="auto"/>
          <w:szCs w:val="21"/>
          <w:highlight w:val="none"/>
        </w:rPr>
        <w:t>选用套筒灌浆连接、机械连接</w:t>
      </w:r>
      <w:r>
        <w:rPr>
          <w:rFonts w:hint="eastAsia"/>
          <w:color w:val="auto"/>
          <w:szCs w:val="21"/>
          <w:highlight w:val="none"/>
        </w:rPr>
        <w:t>、浆锚搭接</w:t>
      </w:r>
      <w:r>
        <w:rPr>
          <w:color w:val="auto"/>
          <w:szCs w:val="21"/>
          <w:highlight w:val="none"/>
        </w:rPr>
        <w:t>等连接方式；</w:t>
      </w:r>
    </w:p>
    <w:p>
      <w:pPr>
        <w:ind w:firstLine="421" w:firstLineChars="200"/>
        <w:rPr>
          <w:bCs/>
          <w:color w:val="auto"/>
          <w:szCs w:val="21"/>
          <w:highlight w:val="none"/>
        </w:rPr>
      </w:pPr>
      <w:r>
        <w:rPr>
          <w:rFonts w:hint="eastAsia"/>
          <w:b/>
          <w:bCs/>
          <w:color w:val="auto"/>
          <w:szCs w:val="21"/>
          <w:highlight w:val="none"/>
        </w:rPr>
        <w:t>3</w:t>
      </w:r>
      <w:r>
        <w:rPr>
          <w:rFonts w:hint="eastAsia"/>
          <w:bCs/>
          <w:color w:val="auto"/>
          <w:szCs w:val="21"/>
          <w:highlight w:val="none"/>
        </w:rPr>
        <w:t xml:space="preserve">  模</w:t>
      </w:r>
      <w:r>
        <w:rPr>
          <w:bCs/>
          <w:color w:val="auto"/>
          <w:szCs w:val="21"/>
          <w:highlight w:val="none"/>
        </w:rPr>
        <w:t>块单元的连接应根据实际刚度建立结构计算模型，并应具有满足设计要求的抗拉、抗压和抗剪承载力，半刚接和刚接节点还应补充验算抗弯承载力。</w:t>
      </w:r>
    </w:p>
    <w:p>
      <w:pPr>
        <w:numPr>
          <w:ilvl w:val="0"/>
          <w:numId w:val="12"/>
        </w:numPr>
        <w:rPr>
          <w:color w:val="auto"/>
          <w:highlight w:val="none"/>
        </w:rPr>
      </w:pPr>
      <w:r>
        <w:rPr>
          <w:rFonts w:hint="eastAsia"/>
          <w:color w:val="auto"/>
          <w:highlight w:val="none"/>
        </w:rPr>
        <w:t>模块化框架结构的分析计算，应符合下列规定：</w:t>
      </w:r>
    </w:p>
    <w:p>
      <w:pPr>
        <w:ind w:firstLine="421" w:firstLineChars="200"/>
        <w:rPr>
          <w:rFonts w:hint="eastAsia" w:eastAsia="宋体"/>
          <w:color w:val="auto"/>
          <w:szCs w:val="21"/>
          <w:highlight w:val="none"/>
          <w:lang w:eastAsia="zh-CN"/>
        </w:rPr>
      </w:pPr>
      <w:r>
        <w:rPr>
          <w:b/>
          <w:color w:val="auto"/>
          <w:szCs w:val="21"/>
          <w:highlight w:val="none"/>
        </w:rPr>
        <w:t>1</w:t>
      </w:r>
      <w:r>
        <w:rPr>
          <w:color w:val="auto"/>
          <w:szCs w:val="21"/>
          <w:highlight w:val="none"/>
        </w:rPr>
        <w:t xml:space="preserve">  </w:t>
      </w:r>
      <w:r>
        <w:rPr>
          <w:rFonts w:hint="eastAsia"/>
          <w:color w:val="auto"/>
          <w:szCs w:val="21"/>
          <w:highlight w:val="none"/>
        </w:rPr>
        <w:t>模块单元顶板厚度大于100mm时，可在模块单元内部</w:t>
      </w:r>
      <w:r>
        <w:rPr>
          <w:color w:val="auto"/>
          <w:szCs w:val="21"/>
          <w:highlight w:val="none"/>
        </w:rPr>
        <w:t>假定为刚性</w:t>
      </w:r>
      <w:r>
        <w:rPr>
          <w:rFonts w:hint="eastAsia"/>
          <w:color w:val="auto"/>
          <w:szCs w:val="21"/>
          <w:highlight w:val="none"/>
          <w:lang w:val="en-US" w:eastAsia="zh-CN"/>
        </w:rPr>
        <w:t>；</w:t>
      </w:r>
    </w:p>
    <w:p>
      <w:pPr>
        <w:ind w:firstLine="421" w:firstLineChars="200"/>
        <w:rPr>
          <w:color w:val="auto"/>
          <w:szCs w:val="21"/>
          <w:highlight w:val="none"/>
        </w:rPr>
      </w:pPr>
      <w:r>
        <w:rPr>
          <w:b/>
          <w:color w:val="auto"/>
          <w:szCs w:val="21"/>
          <w:highlight w:val="none"/>
        </w:rPr>
        <w:t>2</w:t>
      </w:r>
      <w:r>
        <w:rPr>
          <w:rFonts w:hint="eastAsia"/>
          <w:color w:val="auto"/>
          <w:szCs w:val="21"/>
          <w:highlight w:val="none"/>
        </w:rPr>
        <w:t xml:space="preserve">  当</w:t>
      </w:r>
      <w:r>
        <w:rPr>
          <w:color w:val="auto"/>
          <w:szCs w:val="21"/>
          <w:highlight w:val="none"/>
        </w:rPr>
        <w:t>模块</w:t>
      </w:r>
      <w:r>
        <w:rPr>
          <w:rFonts w:hint="eastAsia"/>
          <w:color w:val="auto"/>
          <w:szCs w:val="21"/>
          <w:highlight w:val="none"/>
        </w:rPr>
        <w:t>单元顶板采用全预制楼板时，</w:t>
      </w:r>
      <w:r>
        <w:rPr>
          <w:color w:val="auto"/>
          <w:szCs w:val="21"/>
          <w:highlight w:val="none"/>
        </w:rPr>
        <w:t>不</w:t>
      </w:r>
      <w:r>
        <w:rPr>
          <w:rFonts w:hint="eastAsia"/>
          <w:color w:val="auto"/>
          <w:szCs w:val="21"/>
          <w:highlight w:val="none"/>
        </w:rPr>
        <w:t>应</w:t>
      </w:r>
      <w:r>
        <w:rPr>
          <w:color w:val="auto"/>
          <w:szCs w:val="21"/>
          <w:highlight w:val="none"/>
        </w:rPr>
        <w:t>将整层楼盖假定为刚性</w:t>
      </w:r>
      <w:r>
        <w:rPr>
          <w:rFonts w:hint="eastAsia"/>
          <w:color w:val="auto"/>
          <w:szCs w:val="21"/>
          <w:highlight w:val="none"/>
        </w:rPr>
        <w:t>隔板；</w:t>
      </w:r>
    </w:p>
    <w:p>
      <w:pPr>
        <w:ind w:firstLine="421" w:firstLineChars="200"/>
        <w:rPr>
          <w:color w:val="auto"/>
          <w:szCs w:val="21"/>
          <w:highlight w:val="none"/>
        </w:rPr>
      </w:pPr>
      <w:r>
        <w:rPr>
          <w:b/>
          <w:color w:val="auto"/>
          <w:szCs w:val="21"/>
          <w:highlight w:val="none"/>
        </w:rPr>
        <w:t>3</w:t>
      </w:r>
      <w:r>
        <w:rPr>
          <w:rFonts w:hint="eastAsia"/>
          <w:color w:val="auto"/>
          <w:szCs w:val="21"/>
          <w:highlight w:val="none"/>
        </w:rPr>
        <w:t xml:space="preserve">  当</w:t>
      </w:r>
      <w:r>
        <w:rPr>
          <w:color w:val="auto"/>
          <w:szCs w:val="21"/>
          <w:highlight w:val="none"/>
        </w:rPr>
        <w:t>模块</w:t>
      </w:r>
      <w:r>
        <w:rPr>
          <w:rFonts w:hint="eastAsia"/>
          <w:color w:val="auto"/>
          <w:szCs w:val="21"/>
          <w:highlight w:val="none"/>
        </w:rPr>
        <w:t>单元顶板采用整体或局部叠合楼板时，</w:t>
      </w:r>
      <w:r>
        <w:rPr>
          <w:rFonts w:hint="eastAsia"/>
          <w:color w:val="auto"/>
          <w:highlight w:val="none"/>
        </w:rPr>
        <w:t>应</w:t>
      </w:r>
      <w:r>
        <w:rPr>
          <w:rFonts w:hint="eastAsia"/>
          <w:color w:val="auto"/>
          <w:szCs w:val="21"/>
          <w:highlight w:val="none"/>
        </w:rPr>
        <w:t>根据实际情况进行建模计算。</w:t>
      </w:r>
    </w:p>
    <w:p>
      <w:pPr>
        <w:pStyle w:val="5"/>
        <w:rPr>
          <w:color w:val="auto"/>
          <w:highlight w:val="none"/>
        </w:rPr>
      </w:pPr>
      <w:bookmarkStart w:id="485" w:name="_Toc27565"/>
      <w:bookmarkStart w:id="486" w:name="_Toc29232"/>
      <w:bookmarkStart w:id="487" w:name="_Toc14674"/>
      <w:bookmarkStart w:id="488" w:name="_Toc16455"/>
      <w:r>
        <w:rPr>
          <w:b/>
          <w:bCs w:val="0"/>
          <w:color w:val="auto"/>
          <w:highlight w:val="none"/>
        </w:rPr>
        <w:t>Ⅱ</w:t>
      </w:r>
      <w:r>
        <w:rPr>
          <w:color w:val="auto"/>
          <w:highlight w:val="none"/>
        </w:rPr>
        <w:t xml:space="preserve">  </w:t>
      </w:r>
      <w:r>
        <w:rPr>
          <w:rFonts w:hint="eastAsia"/>
          <w:color w:val="auto"/>
          <w:highlight w:val="none"/>
        </w:rPr>
        <w:t>模块化剪力墙及模块化箱模结构</w:t>
      </w:r>
      <w:bookmarkEnd w:id="485"/>
      <w:bookmarkEnd w:id="486"/>
      <w:bookmarkEnd w:id="487"/>
      <w:bookmarkEnd w:id="488"/>
    </w:p>
    <w:p>
      <w:pPr>
        <w:numPr>
          <w:ilvl w:val="0"/>
          <w:numId w:val="12"/>
        </w:numPr>
        <w:rPr>
          <w:color w:val="auto"/>
          <w:highlight w:val="none"/>
        </w:rPr>
      </w:pPr>
      <w:r>
        <w:rPr>
          <w:rFonts w:hint="eastAsia"/>
          <w:color w:val="auto"/>
          <w:highlight w:val="none"/>
        </w:rPr>
        <w:t>按弹性方法计算的风荷载或多遇地震标准值作用下的模块化剪力墙结构和模块化箱模结构楼层弹性层间最大水平位移与层高之比</w:t>
      </w:r>
      <w:r>
        <w:rPr>
          <w:rFonts w:hint="eastAsia"/>
          <w:i/>
          <w:iCs/>
          <w:color w:val="auto"/>
          <w:highlight w:val="none"/>
        </w:rPr>
        <w:t>△u/h</w:t>
      </w:r>
      <w:r>
        <w:rPr>
          <w:rFonts w:hint="eastAsia"/>
          <w:color w:val="auto"/>
          <w:highlight w:val="none"/>
        </w:rPr>
        <w:t>宜符合表5.3.</w:t>
      </w:r>
      <w:r>
        <w:rPr>
          <w:rFonts w:hint="eastAsia"/>
          <w:color w:val="auto"/>
          <w:highlight w:val="none"/>
          <w:lang w:val="en-US" w:eastAsia="zh-CN"/>
        </w:rPr>
        <w:t>5</w:t>
      </w:r>
      <w:r>
        <w:rPr>
          <w:rFonts w:hint="eastAsia"/>
          <w:color w:val="auto"/>
          <w:highlight w:val="none"/>
        </w:rPr>
        <w:t>的规定。</w:t>
      </w:r>
    </w:p>
    <w:p>
      <w:pPr>
        <w:pStyle w:val="54"/>
        <w:rPr>
          <w:rFonts w:eastAsia="仿宋"/>
          <w:b/>
          <w:bCs/>
          <w:color w:val="auto"/>
          <w:sz w:val="21"/>
          <w:highlight w:val="none"/>
        </w:rPr>
      </w:pPr>
      <w:r>
        <w:rPr>
          <w:rFonts w:eastAsia="仿宋"/>
          <w:b/>
          <w:bCs/>
          <w:color w:val="auto"/>
          <w:sz w:val="21"/>
          <w:highlight w:val="none"/>
        </w:rPr>
        <w:t>表5</w:t>
      </w:r>
      <w:r>
        <w:rPr>
          <w:rFonts w:hint="eastAsia" w:ascii="仿宋" w:hAnsi="仿宋" w:eastAsia="仿宋" w:cs="仿宋"/>
          <w:b/>
          <w:bCs/>
          <w:color w:val="auto"/>
          <w:sz w:val="21"/>
          <w:highlight w:val="none"/>
        </w:rPr>
        <w:t>.</w:t>
      </w:r>
      <w:r>
        <w:rPr>
          <w:rFonts w:eastAsia="仿宋"/>
          <w:b/>
          <w:bCs/>
          <w:color w:val="auto"/>
          <w:sz w:val="21"/>
          <w:highlight w:val="none"/>
        </w:rPr>
        <w:t>3</w:t>
      </w:r>
      <w:r>
        <w:rPr>
          <w:rFonts w:hint="eastAsia" w:ascii="仿宋" w:hAnsi="仿宋" w:eastAsia="仿宋" w:cs="仿宋"/>
          <w:b/>
          <w:bCs/>
          <w:color w:val="auto"/>
          <w:sz w:val="21"/>
          <w:highlight w:val="none"/>
        </w:rPr>
        <w:t>.</w:t>
      </w:r>
      <w:r>
        <w:rPr>
          <w:rFonts w:hint="eastAsia" w:eastAsia="仿宋"/>
          <w:b/>
          <w:bCs/>
          <w:color w:val="auto"/>
          <w:sz w:val="21"/>
          <w:highlight w:val="none"/>
          <w:lang w:val="en-US" w:eastAsia="zh-CN"/>
        </w:rPr>
        <w:t>5</w:t>
      </w:r>
      <w:r>
        <w:rPr>
          <w:rFonts w:eastAsia="仿宋"/>
          <w:b/>
          <w:bCs/>
          <w:color w:val="auto"/>
          <w:sz w:val="21"/>
          <w:highlight w:val="none"/>
        </w:rPr>
        <w:t xml:space="preserve">  模块化剪力墙结构</w:t>
      </w:r>
      <w:r>
        <w:rPr>
          <w:rFonts w:hint="eastAsia" w:eastAsia="仿宋"/>
          <w:b/>
          <w:bCs/>
          <w:color w:val="auto"/>
          <w:sz w:val="21"/>
          <w:highlight w:val="none"/>
        </w:rPr>
        <w:t>及模块化箱模结构</w:t>
      </w:r>
      <w:r>
        <w:rPr>
          <w:rFonts w:eastAsia="仿宋"/>
          <w:b/>
          <w:bCs/>
          <w:color w:val="auto"/>
          <w:sz w:val="21"/>
          <w:highlight w:val="none"/>
        </w:rPr>
        <w:t>楼层层间最大位移与层高之比的限值</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29"/>
        <w:gridCol w:w="2831"/>
        <w:gridCol w:w="38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985" w:type="pct"/>
            <w:gridSpan w:val="2"/>
            <w:vAlign w:val="center"/>
          </w:tcPr>
          <w:p>
            <w:pPr>
              <w:pStyle w:val="52"/>
              <w:rPr>
                <w:rFonts w:eastAsia="仿宋"/>
                <w:color w:val="auto"/>
                <w:sz w:val="21"/>
                <w:highlight w:val="none"/>
              </w:rPr>
            </w:pPr>
            <w:r>
              <w:rPr>
                <w:rFonts w:eastAsia="仿宋"/>
                <w:color w:val="auto"/>
                <w:sz w:val="21"/>
                <w:highlight w:val="none"/>
              </w:rPr>
              <w:t>结构类型</w:t>
            </w:r>
          </w:p>
        </w:tc>
        <w:tc>
          <w:tcPr>
            <w:tcW w:w="2014" w:type="pct"/>
            <w:vAlign w:val="center"/>
          </w:tcPr>
          <w:p>
            <w:pPr>
              <w:pStyle w:val="52"/>
              <w:rPr>
                <w:rFonts w:eastAsia="仿宋"/>
                <w:color w:val="auto"/>
                <w:sz w:val="21"/>
                <w:highlight w:val="none"/>
              </w:rPr>
            </w:pPr>
            <w:r>
              <w:rPr>
                <w:rFonts w:eastAsia="仿宋"/>
                <w:i/>
                <w:iCs/>
                <w:color w:val="auto"/>
                <w:sz w:val="21"/>
                <w:highlight w:val="none"/>
              </w:rPr>
              <w:t xml:space="preserve">△u/h </w:t>
            </w:r>
            <w:r>
              <w:rPr>
                <w:rFonts w:eastAsia="仿宋"/>
                <w:color w:val="auto"/>
                <w:sz w:val="21"/>
                <w:highlight w:val="none"/>
              </w:rPr>
              <w:t>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5" w:type="pct"/>
            <w:gridSpan w:val="2"/>
            <w:vAlign w:val="center"/>
          </w:tcPr>
          <w:p>
            <w:pPr>
              <w:pStyle w:val="52"/>
              <w:rPr>
                <w:rFonts w:eastAsia="仿宋"/>
                <w:color w:val="auto"/>
                <w:sz w:val="21"/>
                <w:highlight w:val="none"/>
              </w:rPr>
            </w:pPr>
            <w:r>
              <w:rPr>
                <w:rFonts w:hint="eastAsia" w:eastAsia="仿宋"/>
                <w:color w:val="auto"/>
                <w:sz w:val="21"/>
                <w:highlight w:val="none"/>
              </w:rPr>
              <w:t>模块化全预制剪力墙结构</w:t>
            </w:r>
          </w:p>
        </w:tc>
        <w:tc>
          <w:tcPr>
            <w:tcW w:w="2014" w:type="pct"/>
            <w:vAlign w:val="center"/>
          </w:tcPr>
          <w:p>
            <w:pPr>
              <w:pStyle w:val="52"/>
              <w:rPr>
                <w:rFonts w:eastAsia="仿宋"/>
                <w:color w:val="auto"/>
                <w:sz w:val="21"/>
                <w:highlight w:val="none"/>
              </w:rPr>
            </w:pPr>
            <w:r>
              <w:rPr>
                <w:rFonts w:eastAsia="仿宋"/>
                <w:color w:val="auto"/>
                <w:sz w:val="21"/>
                <w:highlight w:val="none"/>
              </w:rPr>
              <w:t>1/1000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5" w:type="pct"/>
            <w:gridSpan w:val="2"/>
            <w:vAlign w:val="center"/>
          </w:tcPr>
          <w:p>
            <w:pPr>
              <w:pStyle w:val="52"/>
              <w:rPr>
                <w:rFonts w:eastAsia="仿宋"/>
                <w:color w:val="auto"/>
                <w:sz w:val="21"/>
                <w:highlight w:val="none"/>
              </w:rPr>
            </w:pPr>
            <w:r>
              <w:rPr>
                <w:rFonts w:eastAsia="仿宋"/>
                <w:color w:val="auto"/>
                <w:sz w:val="21"/>
                <w:highlight w:val="none"/>
              </w:rPr>
              <w:t>模块化叠合剪力墙结构</w:t>
            </w:r>
          </w:p>
        </w:tc>
        <w:tc>
          <w:tcPr>
            <w:tcW w:w="2014" w:type="pct"/>
            <w:vAlign w:val="center"/>
          </w:tcPr>
          <w:p>
            <w:pPr>
              <w:pStyle w:val="52"/>
              <w:rPr>
                <w:rFonts w:eastAsia="仿宋"/>
                <w:color w:val="auto"/>
                <w:sz w:val="21"/>
                <w:highlight w:val="none"/>
              </w:rPr>
            </w:pPr>
            <w:r>
              <w:rPr>
                <w:rFonts w:eastAsia="仿宋"/>
                <w:color w:val="auto"/>
                <w:sz w:val="21"/>
                <w:highlight w:val="none"/>
              </w:rPr>
              <w:t>1/1000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2" w:type="pct"/>
            <w:vMerge w:val="restart"/>
            <w:vAlign w:val="center"/>
          </w:tcPr>
          <w:p>
            <w:pPr>
              <w:pStyle w:val="52"/>
              <w:rPr>
                <w:rFonts w:eastAsia="仿宋"/>
                <w:color w:val="auto"/>
                <w:sz w:val="21"/>
                <w:highlight w:val="none"/>
              </w:rPr>
            </w:pPr>
            <w:r>
              <w:rPr>
                <w:rFonts w:eastAsia="仿宋"/>
                <w:color w:val="auto"/>
                <w:sz w:val="21"/>
                <w:highlight w:val="none"/>
              </w:rPr>
              <w:t>模块化箱模结构</w:t>
            </w:r>
          </w:p>
        </w:tc>
        <w:tc>
          <w:tcPr>
            <w:tcW w:w="1493" w:type="pct"/>
            <w:vAlign w:val="center"/>
          </w:tcPr>
          <w:p>
            <w:pPr>
              <w:pStyle w:val="52"/>
              <w:rPr>
                <w:rFonts w:eastAsia="仿宋"/>
                <w:color w:val="auto"/>
                <w:sz w:val="21"/>
                <w:highlight w:val="none"/>
              </w:rPr>
            </w:pPr>
            <w:r>
              <w:rPr>
                <w:rFonts w:eastAsia="仿宋"/>
                <w:color w:val="auto"/>
                <w:sz w:val="21"/>
                <w:highlight w:val="none"/>
              </w:rPr>
              <w:t>箱模框架结构</w:t>
            </w:r>
          </w:p>
        </w:tc>
        <w:tc>
          <w:tcPr>
            <w:tcW w:w="2014" w:type="pct"/>
            <w:vAlign w:val="center"/>
          </w:tcPr>
          <w:p>
            <w:pPr>
              <w:pStyle w:val="52"/>
              <w:rPr>
                <w:rFonts w:eastAsia="仿宋"/>
                <w:color w:val="auto"/>
                <w:sz w:val="21"/>
                <w:highlight w:val="none"/>
              </w:rPr>
            </w:pPr>
            <w:r>
              <w:rPr>
                <w:rFonts w:eastAsia="仿宋"/>
                <w:color w:val="auto"/>
                <w:sz w:val="21"/>
                <w:highlight w:val="none"/>
              </w:rPr>
              <w:t>1/550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2" w:type="pct"/>
            <w:vMerge w:val="continue"/>
            <w:vAlign w:val="center"/>
          </w:tcPr>
          <w:p>
            <w:pPr>
              <w:pStyle w:val="52"/>
              <w:rPr>
                <w:rFonts w:eastAsia="仿宋"/>
                <w:color w:val="auto"/>
                <w:sz w:val="21"/>
                <w:highlight w:val="none"/>
              </w:rPr>
            </w:pPr>
          </w:p>
        </w:tc>
        <w:tc>
          <w:tcPr>
            <w:tcW w:w="1493" w:type="pct"/>
            <w:vAlign w:val="center"/>
          </w:tcPr>
          <w:p>
            <w:pPr>
              <w:pStyle w:val="52"/>
              <w:rPr>
                <w:rFonts w:eastAsia="仿宋"/>
                <w:color w:val="auto"/>
                <w:sz w:val="21"/>
                <w:highlight w:val="none"/>
              </w:rPr>
            </w:pPr>
            <w:r>
              <w:rPr>
                <w:rFonts w:eastAsia="仿宋"/>
                <w:color w:val="auto"/>
                <w:sz w:val="21"/>
                <w:highlight w:val="none"/>
              </w:rPr>
              <w:t>箱模框架-剪力墙结构</w:t>
            </w:r>
          </w:p>
        </w:tc>
        <w:tc>
          <w:tcPr>
            <w:tcW w:w="2014" w:type="pct"/>
            <w:vAlign w:val="center"/>
          </w:tcPr>
          <w:p>
            <w:pPr>
              <w:pStyle w:val="52"/>
              <w:rPr>
                <w:rFonts w:eastAsia="仿宋"/>
                <w:color w:val="auto"/>
                <w:sz w:val="21"/>
                <w:highlight w:val="none"/>
              </w:rPr>
            </w:pPr>
            <w:r>
              <w:rPr>
                <w:rFonts w:eastAsia="仿宋"/>
                <w:color w:val="auto"/>
                <w:sz w:val="21"/>
                <w:highlight w:val="none"/>
              </w:rPr>
              <w:t>1/800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2" w:type="pct"/>
            <w:vMerge w:val="continue"/>
            <w:vAlign w:val="center"/>
          </w:tcPr>
          <w:p>
            <w:pPr>
              <w:pStyle w:val="52"/>
              <w:rPr>
                <w:rFonts w:eastAsia="仿宋"/>
                <w:color w:val="auto"/>
                <w:sz w:val="21"/>
                <w:highlight w:val="none"/>
              </w:rPr>
            </w:pPr>
          </w:p>
        </w:tc>
        <w:tc>
          <w:tcPr>
            <w:tcW w:w="1493" w:type="pct"/>
            <w:vAlign w:val="center"/>
          </w:tcPr>
          <w:p>
            <w:pPr>
              <w:pStyle w:val="52"/>
              <w:rPr>
                <w:rFonts w:eastAsia="仿宋"/>
                <w:color w:val="auto"/>
                <w:sz w:val="21"/>
                <w:highlight w:val="none"/>
              </w:rPr>
            </w:pPr>
            <w:r>
              <w:rPr>
                <w:rFonts w:eastAsia="仿宋"/>
                <w:color w:val="auto"/>
                <w:sz w:val="21"/>
                <w:highlight w:val="none"/>
              </w:rPr>
              <w:t>箱模剪力墙结构</w:t>
            </w:r>
          </w:p>
        </w:tc>
        <w:tc>
          <w:tcPr>
            <w:tcW w:w="2014" w:type="pct"/>
            <w:vAlign w:val="center"/>
          </w:tcPr>
          <w:p>
            <w:pPr>
              <w:pStyle w:val="52"/>
              <w:rPr>
                <w:rFonts w:eastAsia="仿宋"/>
                <w:color w:val="auto"/>
                <w:sz w:val="21"/>
                <w:highlight w:val="none"/>
              </w:rPr>
            </w:pPr>
            <w:r>
              <w:rPr>
                <w:rFonts w:eastAsia="仿宋"/>
                <w:color w:val="auto"/>
                <w:sz w:val="21"/>
                <w:highlight w:val="none"/>
              </w:rPr>
              <w:t>1/1000</w:t>
            </w:r>
          </w:p>
        </w:tc>
      </w:tr>
    </w:tbl>
    <w:p>
      <w:pPr>
        <w:numPr>
          <w:ilvl w:val="0"/>
          <w:numId w:val="12"/>
        </w:numPr>
        <w:rPr>
          <w:color w:val="auto"/>
          <w:highlight w:val="none"/>
        </w:rPr>
      </w:pPr>
      <w:r>
        <w:rPr>
          <w:rFonts w:hint="eastAsia"/>
          <w:color w:val="auto"/>
          <w:highlight w:val="none"/>
        </w:rPr>
        <w:t>按弹性方法计算的风荷载或多遇地震标准值作用下的模块化剪力墙结构嵌固端上一层的层间弹塑性最大水平位移与层高之比</w:t>
      </w:r>
      <w:r>
        <w:rPr>
          <w:rFonts w:hint="eastAsia"/>
          <w:i/>
          <w:iCs/>
          <w:color w:val="auto"/>
          <w:highlight w:val="none"/>
        </w:rPr>
        <w:t>△u/h</w:t>
      </w:r>
      <w:r>
        <w:rPr>
          <w:rFonts w:hint="eastAsia"/>
          <w:color w:val="auto"/>
          <w:highlight w:val="none"/>
        </w:rPr>
        <w:t>限值为1/2500，模块化箱模框架-剪力墙及箱模剪力墙结构嵌固端上一层层间最大水平位移与层高之比</w:t>
      </w:r>
      <w:r>
        <w:rPr>
          <w:rFonts w:hint="eastAsia"/>
          <w:i/>
          <w:iCs/>
          <w:color w:val="auto"/>
          <w:highlight w:val="none"/>
        </w:rPr>
        <w:t>△u/h</w:t>
      </w:r>
      <w:r>
        <w:rPr>
          <w:rFonts w:hint="eastAsia"/>
          <w:color w:val="auto"/>
          <w:highlight w:val="none"/>
        </w:rPr>
        <w:t>限值为1/2000。</w:t>
      </w:r>
    </w:p>
    <w:p>
      <w:pPr>
        <w:numPr>
          <w:ilvl w:val="0"/>
          <w:numId w:val="12"/>
        </w:numPr>
        <w:rPr>
          <w:color w:val="auto"/>
          <w:highlight w:val="none"/>
        </w:rPr>
      </w:pPr>
      <w:r>
        <w:rPr>
          <w:rFonts w:hint="eastAsia"/>
          <w:color w:val="auto"/>
          <w:highlight w:val="none"/>
        </w:rPr>
        <w:t>按弹塑性方法计算的风荷载或罕遇地震标准值作用下的模块化剪力墙结构和模块化箱模结构楼层层间最大水平位移与层高之比</w:t>
      </w:r>
      <w:r>
        <w:rPr>
          <w:rFonts w:hint="eastAsia"/>
          <w:i/>
          <w:iCs/>
          <w:color w:val="auto"/>
          <w:highlight w:val="none"/>
        </w:rPr>
        <w:t>△u/h</w:t>
      </w:r>
      <w:r>
        <w:rPr>
          <w:rFonts w:hint="eastAsia"/>
          <w:color w:val="auto"/>
          <w:highlight w:val="none"/>
        </w:rPr>
        <w:t>宜符合表5.3.7的规定。</w:t>
      </w:r>
    </w:p>
    <w:p>
      <w:pPr>
        <w:pStyle w:val="54"/>
        <w:rPr>
          <w:rFonts w:eastAsia="仿宋"/>
          <w:b/>
          <w:bCs/>
          <w:color w:val="auto"/>
          <w:sz w:val="21"/>
          <w:highlight w:val="none"/>
        </w:rPr>
      </w:pPr>
      <w:r>
        <w:rPr>
          <w:rFonts w:eastAsia="仿宋"/>
          <w:b/>
          <w:bCs/>
          <w:color w:val="auto"/>
          <w:sz w:val="21"/>
          <w:highlight w:val="none"/>
        </w:rPr>
        <w:t>表5</w:t>
      </w:r>
      <w:r>
        <w:rPr>
          <w:rFonts w:hint="eastAsia" w:ascii="仿宋" w:hAnsi="仿宋" w:eastAsia="仿宋" w:cs="仿宋"/>
          <w:b/>
          <w:bCs/>
          <w:color w:val="auto"/>
          <w:sz w:val="21"/>
          <w:highlight w:val="none"/>
        </w:rPr>
        <w:t>.</w:t>
      </w:r>
      <w:r>
        <w:rPr>
          <w:rFonts w:eastAsia="仿宋"/>
          <w:b/>
          <w:bCs/>
          <w:color w:val="auto"/>
          <w:sz w:val="21"/>
          <w:highlight w:val="none"/>
        </w:rPr>
        <w:t>3</w:t>
      </w:r>
      <w:r>
        <w:rPr>
          <w:rFonts w:hint="eastAsia" w:ascii="仿宋" w:hAnsi="仿宋" w:eastAsia="仿宋" w:cs="仿宋"/>
          <w:b/>
          <w:bCs/>
          <w:color w:val="auto"/>
          <w:sz w:val="21"/>
          <w:highlight w:val="none"/>
        </w:rPr>
        <w:t>.</w:t>
      </w:r>
      <w:r>
        <w:rPr>
          <w:rFonts w:hint="eastAsia" w:eastAsia="仿宋"/>
          <w:b/>
          <w:bCs/>
          <w:color w:val="auto"/>
          <w:sz w:val="21"/>
          <w:highlight w:val="none"/>
        </w:rPr>
        <w:t>7</w:t>
      </w:r>
      <w:r>
        <w:rPr>
          <w:rFonts w:eastAsia="仿宋"/>
          <w:b/>
          <w:bCs/>
          <w:color w:val="auto"/>
          <w:sz w:val="21"/>
          <w:highlight w:val="none"/>
        </w:rPr>
        <w:t xml:space="preserve">  模块化剪力墙结构</w:t>
      </w:r>
      <w:r>
        <w:rPr>
          <w:rFonts w:hint="eastAsia" w:eastAsia="仿宋"/>
          <w:b/>
          <w:bCs/>
          <w:color w:val="auto"/>
          <w:sz w:val="21"/>
          <w:highlight w:val="none"/>
        </w:rPr>
        <w:t>及模块化箱模结构</w:t>
      </w:r>
      <w:r>
        <w:rPr>
          <w:rFonts w:eastAsia="仿宋"/>
          <w:b/>
          <w:bCs/>
          <w:color w:val="auto"/>
          <w:sz w:val="21"/>
          <w:highlight w:val="none"/>
        </w:rPr>
        <w:t>楼层层间最大位移与层高之比的限值</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29"/>
        <w:gridCol w:w="2831"/>
        <w:gridCol w:w="38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985" w:type="pct"/>
            <w:gridSpan w:val="2"/>
            <w:vAlign w:val="center"/>
          </w:tcPr>
          <w:p>
            <w:pPr>
              <w:pStyle w:val="52"/>
              <w:rPr>
                <w:rFonts w:eastAsia="仿宋"/>
                <w:color w:val="auto"/>
                <w:sz w:val="21"/>
                <w:highlight w:val="none"/>
              </w:rPr>
            </w:pPr>
            <w:r>
              <w:rPr>
                <w:rFonts w:eastAsia="仿宋"/>
                <w:color w:val="auto"/>
                <w:sz w:val="21"/>
                <w:highlight w:val="none"/>
              </w:rPr>
              <w:t>结构类型</w:t>
            </w:r>
          </w:p>
        </w:tc>
        <w:tc>
          <w:tcPr>
            <w:tcW w:w="2014" w:type="pct"/>
            <w:vAlign w:val="center"/>
          </w:tcPr>
          <w:p>
            <w:pPr>
              <w:pStyle w:val="52"/>
              <w:rPr>
                <w:rFonts w:eastAsia="仿宋"/>
                <w:color w:val="auto"/>
                <w:sz w:val="21"/>
                <w:highlight w:val="none"/>
              </w:rPr>
            </w:pPr>
            <w:r>
              <w:rPr>
                <w:rFonts w:eastAsia="仿宋"/>
                <w:i/>
                <w:iCs/>
                <w:color w:val="auto"/>
                <w:sz w:val="21"/>
                <w:highlight w:val="none"/>
              </w:rPr>
              <w:t xml:space="preserve">△u/h </w:t>
            </w:r>
            <w:r>
              <w:rPr>
                <w:rFonts w:eastAsia="仿宋"/>
                <w:color w:val="auto"/>
                <w:sz w:val="21"/>
                <w:highlight w:val="none"/>
              </w:rPr>
              <w:t>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5" w:type="pct"/>
            <w:gridSpan w:val="2"/>
            <w:vAlign w:val="center"/>
          </w:tcPr>
          <w:p>
            <w:pPr>
              <w:pStyle w:val="52"/>
              <w:rPr>
                <w:rFonts w:eastAsia="仿宋"/>
                <w:color w:val="auto"/>
                <w:sz w:val="21"/>
                <w:highlight w:val="none"/>
              </w:rPr>
            </w:pPr>
            <w:r>
              <w:rPr>
                <w:rFonts w:hint="eastAsia" w:eastAsia="仿宋"/>
                <w:color w:val="auto"/>
                <w:sz w:val="21"/>
                <w:highlight w:val="none"/>
              </w:rPr>
              <w:t>模块化全预制剪力墙结构</w:t>
            </w:r>
          </w:p>
        </w:tc>
        <w:tc>
          <w:tcPr>
            <w:tcW w:w="2014" w:type="pct"/>
            <w:vAlign w:val="center"/>
          </w:tcPr>
          <w:p>
            <w:pPr>
              <w:pStyle w:val="52"/>
              <w:rPr>
                <w:rFonts w:eastAsia="仿宋"/>
                <w:color w:val="auto"/>
                <w:sz w:val="21"/>
                <w:highlight w:val="none"/>
              </w:rPr>
            </w:pPr>
            <w:r>
              <w:rPr>
                <w:rFonts w:eastAsia="仿宋"/>
                <w:color w:val="auto"/>
                <w:sz w:val="21"/>
                <w:highlight w:val="none"/>
              </w:rPr>
              <w:t>1/120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5" w:type="pct"/>
            <w:gridSpan w:val="2"/>
            <w:vAlign w:val="center"/>
          </w:tcPr>
          <w:p>
            <w:pPr>
              <w:pStyle w:val="52"/>
              <w:rPr>
                <w:rFonts w:eastAsia="仿宋"/>
                <w:color w:val="auto"/>
                <w:sz w:val="21"/>
                <w:highlight w:val="none"/>
              </w:rPr>
            </w:pPr>
            <w:r>
              <w:rPr>
                <w:rFonts w:eastAsia="仿宋"/>
                <w:color w:val="auto"/>
                <w:sz w:val="21"/>
                <w:highlight w:val="none"/>
              </w:rPr>
              <w:t>模块化叠合剪力墙结构</w:t>
            </w:r>
          </w:p>
        </w:tc>
        <w:tc>
          <w:tcPr>
            <w:tcW w:w="2014" w:type="pct"/>
            <w:vAlign w:val="center"/>
          </w:tcPr>
          <w:p>
            <w:pPr>
              <w:pStyle w:val="52"/>
              <w:rPr>
                <w:rFonts w:eastAsia="仿宋"/>
                <w:color w:val="auto"/>
                <w:sz w:val="21"/>
                <w:highlight w:val="none"/>
              </w:rPr>
            </w:pPr>
            <w:r>
              <w:rPr>
                <w:rFonts w:eastAsia="仿宋"/>
                <w:color w:val="auto"/>
                <w:sz w:val="21"/>
                <w:highlight w:val="none"/>
              </w:rPr>
              <w:t>1/120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2" w:type="pct"/>
            <w:vMerge w:val="restart"/>
            <w:vAlign w:val="center"/>
          </w:tcPr>
          <w:p>
            <w:pPr>
              <w:pStyle w:val="52"/>
              <w:rPr>
                <w:rFonts w:eastAsia="仿宋"/>
                <w:color w:val="auto"/>
                <w:sz w:val="21"/>
                <w:highlight w:val="none"/>
              </w:rPr>
            </w:pPr>
            <w:r>
              <w:rPr>
                <w:rFonts w:eastAsia="仿宋"/>
                <w:color w:val="auto"/>
                <w:sz w:val="21"/>
                <w:highlight w:val="none"/>
              </w:rPr>
              <w:t>模块化箱模结构</w:t>
            </w:r>
          </w:p>
        </w:tc>
        <w:tc>
          <w:tcPr>
            <w:tcW w:w="1493" w:type="pct"/>
            <w:vAlign w:val="center"/>
          </w:tcPr>
          <w:p>
            <w:pPr>
              <w:pStyle w:val="52"/>
              <w:rPr>
                <w:rFonts w:eastAsia="仿宋"/>
                <w:color w:val="auto"/>
                <w:sz w:val="21"/>
                <w:highlight w:val="none"/>
              </w:rPr>
            </w:pPr>
            <w:r>
              <w:rPr>
                <w:rFonts w:eastAsia="仿宋"/>
                <w:color w:val="auto"/>
                <w:sz w:val="21"/>
                <w:highlight w:val="none"/>
              </w:rPr>
              <w:t>箱模框架结构</w:t>
            </w:r>
          </w:p>
        </w:tc>
        <w:tc>
          <w:tcPr>
            <w:tcW w:w="2014" w:type="pct"/>
            <w:vAlign w:val="center"/>
          </w:tcPr>
          <w:p>
            <w:pPr>
              <w:pStyle w:val="52"/>
              <w:rPr>
                <w:rFonts w:eastAsia="仿宋"/>
                <w:color w:val="auto"/>
                <w:sz w:val="21"/>
                <w:highlight w:val="none"/>
              </w:rPr>
            </w:pPr>
            <w:r>
              <w:rPr>
                <w:rFonts w:eastAsia="仿宋"/>
                <w:color w:val="auto"/>
                <w:sz w:val="21"/>
                <w:highlight w:val="none"/>
              </w:rPr>
              <w:t>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2" w:type="pct"/>
            <w:vMerge w:val="continue"/>
            <w:vAlign w:val="center"/>
          </w:tcPr>
          <w:p>
            <w:pPr>
              <w:pStyle w:val="52"/>
              <w:rPr>
                <w:rFonts w:eastAsia="仿宋"/>
                <w:color w:val="auto"/>
                <w:sz w:val="21"/>
                <w:highlight w:val="none"/>
              </w:rPr>
            </w:pPr>
          </w:p>
        </w:tc>
        <w:tc>
          <w:tcPr>
            <w:tcW w:w="1493" w:type="pct"/>
            <w:vAlign w:val="center"/>
          </w:tcPr>
          <w:p>
            <w:pPr>
              <w:pStyle w:val="52"/>
              <w:rPr>
                <w:rFonts w:eastAsia="仿宋"/>
                <w:color w:val="auto"/>
                <w:sz w:val="21"/>
                <w:highlight w:val="none"/>
              </w:rPr>
            </w:pPr>
            <w:r>
              <w:rPr>
                <w:rFonts w:eastAsia="仿宋"/>
                <w:color w:val="auto"/>
                <w:sz w:val="21"/>
                <w:highlight w:val="none"/>
              </w:rPr>
              <w:t>箱模框架-剪力墙结构</w:t>
            </w:r>
          </w:p>
        </w:tc>
        <w:tc>
          <w:tcPr>
            <w:tcW w:w="2014" w:type="pct"/>
            <w:vAlign w:val="center"/>
          </w:tcPr>
          <w:p>
            <w:pPr>
              <w:pStyle w:val="52"/>
              <w:rPr>
                <w:rFonts w:eastAsia="仿宋"/>
                <w:color w:val="auto"/>
                <w:sz w:val="21"/>
                <w:highlight w:val="none"/>
              </w:rPr>
            </w:pPr>
            <w:r>
              <w:rPr>
                <w:rFonts w:eastAsia="仿宋"/>
                <w:color w:val="auto"/>
                <w:sz w:val="21"/>
                <w:highlight w:val="none"/>
              </w:rPr>
              <w:t>1/100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2" w:type="pct"/>
            <w:vMerge w:val="continue"/>
            <w:vAlign w:val="center"/>
          </w:tcPr>
          <w:p>
            <w:pPr>
              <w:pStyle w:val="52"/>
              <w:rPr>
                <w:rFonts w:eastAsia="仿宋"/>
                <w:color w:val="auto"/>
                <w:sz w:val="21"/>
                <w:highlight w:val="none"/>
              </w:rPr>
            </w:pPr>
          </w:p>
        </w:tc>
        <w:tc>
          <w:tcPr>
            <w:tcW w:w="1493" w:type="pct"/>
            <w:vAlign w:val="center"/>
          </w:tcPr>
          <w:p>
            <w:pPr>
              <w:pStyle w:val="52"/>
              <w:rPr>
                <w:rFonts w:eastAsia="仿宋"/>
                <w:color w:val="auto"/>
                <w:sz w:val="21"/>
                <w:highlight w:val="none"/>
              </w:rPr>
            </w:pPr>
            <w:r>
              <w:rPr>
                <w:rFonts w:eastAsia="仿宋"/>
                <w:color w:val="auto"/>
                <w:sz w:val="21"/>
                <w:highlight w:val="none"/>
              </w:rPr>
              <w:t>箱模剪力墙结构</w:t>
            </w:r>
          </w:p>
        </w:tc>
        <w:tc>
          <w:tcPr>
            <w:tcW w:w="2014" w:type="pct"/>
            <w:vAlign w:val="center"/>
          </w:tcPr>
          <w:p>
            <w:pPr>
              <w:pStyle w:val="52"/>
              <w:rPr>
                <w:rFonts w:eastAsia="仿宋"/>
                <w:color w:val="auto"/>
                <w:sz w:val="21"/>
                <w:highlight w:val="none"/>
              </w:rPr>
            </w:pPr>
            <w:r>
              <w:rPr>
                <w:rFonts w:eastAsia="仿宋"/>
                <w:color w:val="auto"/>
                <w:sz w:val="21"/>
                <w:highlight w:val="none"/>
              </w:rPr>
              <w:t>1/120</w:t>
            </w:r>
          </w:p>
        </w:tc>
      </w:tr>
    </w:tbl>
    <w:p>
      <w:pPr>
        <w:numPr>
          <w:ilvl w:val="0"/>
          <w:numId w:val="12"/>
        </w:numPr>
        <w:rPr>
          <w:color w:val="auto"/>
          <w:highlight w:val="none"/>
        </w:rPr>
      </w:pPr>
      <w:r>
        <w:rPr>
          <w:rFonts w:hint="eastAsia"/>
          <w:color w:val="auto"/>
          <w:highlight w:val="none"/>
        </w:rPr>
        <w:t>模块化剪力墙结构及模块化箱模结构薄弱层（部位）弹塑性层间位移应符合《高层建筑混凝土结构技术规程》JGJ 3和上海市地方标准《建筑抗震设计标准》DG/TJ 08-9的有关规定。</w:t>
      </w:r>
    </w:p>
    <w:p>
      <w:pPr>
        <w:numPr>
          <w:ilvl w:val="0"/>
          <w:numId w:val="12"/>
        </w:numPr>
        <w:rPr>
          <w:color w:val="auto"/>
          <w:highlight w:val="none"/>
        </w:rPr>
      </w:pPr>
      <w:r>
        <w:rPr>
          <w:rFonts w:hint="eastAsia"/>
          <w:color w:val="auto"/>
          <w:highlight w:val="none"/>
        </w:rPr>
        <w:t>模块化剪力墙结构和模块化箱模结构在进行结构内力与位移计算时，应计入模壳板及底板的重力影响。</w:t>
      </w:r>
    </w:p>
    <w:p>
      <w:pPr>
        <w:numPr>
          <w:ilvl w:val="0"/>
          <w:numId w:val="12"/>
        </w:numPr>
        <w:rPr>
          <w:color w:val="auto"/>
          <w:highlight w:val="none"/>
        </w:rPr>
      </w:pPr>
      <w:r>
        <w:rPr>
          <w:rFonts w:hint="eastAsia"/>
          <w:color w:val="auto"/>
          <w:highlight w:val="none"/>
        </w:rPr>
        <w:t>模块化剪力墙结构和模块化箱模结构在进行地震作用计算时，结构自振周期应根据结构类型予以折减，并应符合下列规定：</w:t>
      </w:r>
    </w:p>
    <w:p>
      <w:pPr>
        <w:ind w:firstLine="421" w:firstLineChars="200"/>
        <w:rPr>
          <w:color w:val="auto"/>
          <w:highlight w:val="none"/>
        </w:rPr>
      </w:pPr>
      <w:bookmarkStart w:id="489" w:name="_Toc6935"/>
      <w:bookmarkStart w:id="490" w:name="_Toc12678"/>
      <w:r>
        <w:rPr>
          <w:b/>
          <w:color w:val="auto"/>
          <w:highlight w:val="none"/>
        </w:rPr>
        <w:t xml:space="preserve">1  </w:t>
      </w:r>
      <w:r>
        <w:rPr>
          <w:rFonts w:hint="eastAsia"/>
          <w:color w:val="auto"/>
          <w:highlight w:val="none"/>
        </w:rPr>
        <w:t>模块化箱模框架结构的周期折减系数宜取0</w:t>
      </w:r>
      <w:r>
        <w:rPr>
          <w:color w:val="auto"/>
          <w:highlight w:val="none"/>
        </w:rPr>
        <w:t>.6~0</w:t>
      </w:r>
      <w:r>
        <w:rPr>
          <w:rFonts w:hint="eastAsia"/>
          <w:color w:val="auto"/>
          <w:highlight w:val="none"/>
        </w:rPr>
        <w:t>.</w:t>
      </w:r>
      <w:r>
        <w:rPr>
          <w:color w:val="auto"/>
          <w:highlight w:val="none"/>
        </w:rPr>
        <w:t>7</w:t>
      </w:r>
      <w:r>
        <w:rPr>
          <w:rFonts w:hint="eastAsia"/>
          <w:color w:val="auto"/>
          <w:highlight w:val="none"/>
        </w:rPr>
        <w:t>；</w:t>
      </w:r>
      <w:bookmarkEnd w:id="489"/>
      <w:bookmarkEnd w:id="490"/>
    </w:p>
    <w:p>
      <w:pPr>
        <w:ind w:firstLine="421" w:firstLineChars="200"/>
        <w:rPr>
          <w:color w:val="auto"/>
          <w:highlight w:val="none"/>
        </w:rPr>
      </w:pPr>
      <w:r>
        <w:rPr>
          <w:rFonts w:hint="eastAsia"/>
          <w:b/>
          <w:color w:val="auto"/>
          <w:highlight w:val="none"/>
        </w:rPr>
        <w:t>2</w:t>
      </w:r>
      <w:r>
        <w:rPr>
          <w:color w:val="auto"/>
          <w:highlight w:val="none"/>
        </w:rPr>
        <w:t xml:space="preserve">  </w:t>
      </w:r>
      <w:r>
        <w:rPr>
          <w:rFonts w:hint="eastAsia"/>
          <w:color w:val="auto"/>
          <w:highlight w:val="none"/>
        </w:rPr>
        <w:t>模块化箱模框架-剪力墙结构的周期折减系数宜取0</w:t>
      </w:r>
      <w:r>
        <w:rPr>
          <w:color w:val="auto"/>
          <w:highlight w:val="none"/>
        </w:rPr>
        <w:t>.7</w:t>
      </w:r>
      <w:r>
        <w:rPr>
          <w:rFonts w:hint="eastAsia"/>
          <w:color w:val="auto"/>
          <w:highlight w:val="none"/>
        </w:rPr>
        <w:t>~</w:t>
      </w:r>
      <w:r>
        <w:rPr>
          <w:color w:val="auto"/>
          <w:highlight w:val="none"/>
        </w:rPr>
        <w:t>0.8</w:t>
      </w:r>
      <w:r>
        <w:rPr>
          <w:rFonts w:hint="eastAsia"/>
          <w:color w:val="auto"/>
          <w:highlight w:val="none"/>
        </w:rPr>
        <w:t>；</w:t>
      </w:r>
    </w:p>
    <w:p>
      <w:pPr>
        <w:ind w:firstLine="421" w:firstLineChars="200"/>
        <w:rPr>
          <w:color w:val="auto"/>
          <w:highlight w:val="none"/>
        </w:rPr>
      </w:pPr>
      <w:bookmarkStart w:id="491" w:name="_Toc3807"/>
      <w:bookmarkStart w:id="492" w:name="_Toc6944"/>
      <w:r>
        <w:rPr>
          <w:b/>
          <w:color w:val="auto"/>
          <w:highlight w:val="none"/>
        </w:rPr>
        <w:t xml:space="preserve">3  </w:t>
      </w:r>
      <w:r>
        <w:rPr>
          <w:rFonts w:hint="eastAsia"/>
          <w:color w:val="auto"/>
          <w:highlight w:val="none"/>
        </w:rPr>
        <w:t>模块化剪力墙结构及模块化箱模剪力墙结构的周期折减系数宜取</w:t>
      </w:r>
      <w:r>
        <w:rPr>
          <w:color w:val="auto"/>
          <w:highlight w:val="none"/>
        </w:rPr>
        <w:t>0.8~</w:t>
      </w:r>
      <w:r>
        <w:rPr>
          <w:rFonts w:hint="eastAsia"/>
          <w:color w:val="auto"/>
          <w:highlight w:val="none"/>
        </w:rPr>
        <w:t>1.0。</w:t>
      </w:r>
      <w:bookmarkEnd w:id="491"/>
      <w:bookmarkEnd w:id="492"/>
    </w:p>
    <w:p>
      <w:pPr>
        <w:numPr>
          <w:ilvl w:val="0"/>
          <w:numId w:val="12"/>
        </w:numPr>
        <w:rPr>
          <w:color w:val="auto"/>
          <w:highlight w:val="none"/>
        </w:rPr>
      </w:pPr>
      <w:r>
        <w:rPr>
          <w:rFonts w:hint="eastAsia"/>
          <w:color w:val="auto"/>
          <w:highlight w:val="none"/>
        </w:rPr>
        <w:t>模块化剪力墙结构及模块化箱模结构的楼、屋盖系统的分析计算和截面设计，应符合现行国家标准《混凝土结构设计标准》GB/T 50010、上海市地方标准《建筑抗震设计标准》DG/TJ 08-9的有关规定外，尚应符合下列规定：</w:t>
      </w:r>
    </w:p>
    <w:p>
      <w:pPr>
        <w:ind w:firstLine="421" w:firstLineChars="200"/>
        <w:rPr>
          <w:color w:val="auto"/>
          <w:szCs w:val="21"/>
          <w:highlight w:val="none"/>
        </w:rPr>
      </w:pPr>
      <w:bookmarkStart w:id="493" w:name="_Toc11617"/>
      <w:bookmarkStart w:id="494" w:name="_Toc10969"/>
      <w:r>
        <w:rPr>
          <w:rFonts w:eastAsia="黑体"/>
          <w:b/>
          <w:color w:val="auto"/>
          <w:szCs w:val="21"/>
          <w:highlight w:val="none"/>
        </w:rPr>
        <w:t xml:space="preserve">1  </w:t>
      </w:r>
      <w:r>
        <w:rPr>
          <w:color w:val="auto"/>
          <w:szCs w:val="21"/>
          <w:highlight w:val="none"/>
        </w:rPr>
        <w:t>楼</w:t>
      </w:r>
      <w:r>
        <w:rPr>
          <w:rFonts w:hint="eastAsia"/>
          <w:color w:val="auto"/>
          <w:szCs w:val="21"/>
          <w:highlight w:val="none"/>
        </w:rPr>
        <w:t>盖、</w:t>
      </w:r>
      <w:r>
        <w:rPr>
          <w:color w:val="auto"/>
          <w:szCs w:val="21"/>
          <w:highlight w:val="none"/>
        </w:rPr>
        <w:t>屋盖体系宜选用双向楼盖</w:t>
      </w:r>
      <w:r>
        <w:rPr>
          <w:rFonts w:hint="eastAsia"/>
          <w:color w:val="auto"/>
          <w:szCs w:val="21"/>
          <w:highlight w:val="none"/>
        </w:rPr>
        <w:t>；</w:t>
      </w:r>
      <w:bookmarkEnd w:id="493"/>
      <w:bookmarkEnd w:id="494"/>
    </w:p>
    <w:p>
      <w:pPr>
        <w:ind w:firstLine="421" w:firstLineChars="200"/>
        <w:rPr>
          <w:color w:val="auto"/>
          <w:szCs w:val="21"/>
          <w:highlight w:val="none"/>
        </w:rPr>
      </w:pPr>
      <w:r>
        <w:rPr>
          <w:rFonts w:eastAsia="黑体"/>
          <w:b/>
          <w:bCs/>
          <w:color w:val="auto"/>
          <w:szCs w:val="21"/>
          <w:highlight w:val="none"/>
        </w:rPr>
        <w:t xml:space="preserve">2  </w:t>
      </w:r>
      <w:r>
        <w:rPr>
          <w:color w:val="auto"/>
          <w:szCs w:val="21"/>
          <w:highlight w:val="none"/>
        </w:rPr>
        <w:t>楼</w:t>
      </w:r>
      <w:r>
        <w:rPr>
          <w:rFonts w:hint="eastAsia"/>
          <w:color w:val="auto"/>
          <w:szCs w:val="21"/>
          <w:highlight w:val="none"/>
        </w:rPr>
        <w:t>盖、</w:t>
      </w:r>
      <w:r>
        <w:rPr>
          <w:color w:val="auto"/>
          <w:szCs w:val="21"/>
          <w:highlight w:val="none"/>
        </w:rPr>
        <w:t>屋盖体系应与竖向结构构件有可靠的连接，保证结构的整体性。</w:t>
      </w:r>
    </w:p>
    <w:p>
      <w:pPr>
        <w:numPr>
          <w:ilvl w:val="0"/>
          <w:numId w:val="12"/>
        </w:numPr>
        <w:rPr>
          <w:color w:val="auto"/>
          <w:highlight w:val="none"/>
        </w:rPr>
      </w:pPr>
      <w:r>
        <w:rPr>
          <w:rFonts w:hint="eastAsia"/>
          <w:color w:val="auto"/>
          <w:highlight w:val="none"/>
        </w:rPr>
        <w:t>模块化箱模结构中墙模作为剪力墙的保护层参与受力计算时，应符合下列规定：</w:t>
      </w:r>
    </w:p>
    <w:p>
      <w:pPr>
        <w:ind w:firstLine="421" w:firstLineChars="200"/>
        <w:rPr>
          <w:color w:val="auto"/>
          <w:highlight w:val="none"/>
        </w:rPr>
      </w:pPr>
      <w:r>
        <w:rPr>
          <w:b/>
          <w:color w:val="auto"/>
          <w:highlight w:val="none"/>
        </w:rPr>
        <w:t xml:space="preserve">1  </w:t>
      </w:r>
      <w:r>
        <w:rPr>
          <w:color w:val="auto"/>
          <w:highlight w:val="none"/>
        </w:rPr>
        <w:t>墙模与现浇混凝土之间</w:t>
      </w:r>
      <w:r>
        <w:rPr>
          <w:rFonts w:hint="eastAsia"/>
          <w:color w:val="auto"/>
          <w:highlight w:val="none"/>
        </w:rPr>
        <w:t>应采用钢筋桁架、钢筋锚固及其他可靠方式进行连接，锚固点之间间距不宜大于</w:t>
      </w:r>
      <w:r>
        <w:rPr>
          <w:color w:val="auto"/>
          <w:highlight w:val="none"/>
        </w:rPr>
        <w:t>600</w:t>
      </w:r>
      <w:r>
        <w:rPr>
          <w:rFonts w:hint="eastAsia"/>
          <w:color w:val="auto"/>
          <w:highlight w:val="none"/>
        </w:rPr>
        <w:t>mm，锚固点到墙端距离不宜大于4</w:t>
      </w:r>
      <w:r>
        <w:rPr>
          <w:color w:val="auto"/>
          <w:highlight w:val="none"/>
        </w:rPr>
        <w:t>50</w:t>
      </w:r>
      <w:r>
        <w:rPr>
          <w:rFonts w:hint="eastAsia"/>
          <w:color w:val="auto"/>
          <w:highlight w:val="none"/>
        </w:rPr>
        <w:t>mm；</w:t>
      </w:r>
    </w:p>
    <w:p>
      <w:pPr>
        <w:ind w:firstLine="421" w:firstLineChars="200"/>
        <w:rPr>
          <w:color w:val="auto"/>
          <w:highlight w:val="none"/>
        </w:rPr>
      </w:pPr>
      <w:r>
        <w:rPr>
          <w:b/>
          <w:color w:val="auto"/>
          <w:highlight w:val="none"/>
        </w:rPr>
        <w:t xml:space="preserve">2  </w:t>
      </w:r>
      <w:r>
        <w:rPr>
          <w:rFonts w:hint="eastAsia"/>
          <w:color w:val="auto"/>
          <w:highlight w:val="none"/>
        </w:rPr>
        <w:t>在边缘构件区域箍筋外侧与墙模之间的距离</w:t>
      </w:r>
      <w:r>
        <w:rPr>
          <w:i/>
          <w:iCs/>
          <w:color w:val="auto"/>
          <w:highlight w:val="none"/>
        </w:rPr>
        <w:t>a</w:t>
      </w:r>
      <w:r>
        <w:rPr>
          <w:rFonts w:hint="eastAsia"/>
          <w:color w:val="auto"/>
          <w:highlight w:val="none"/>
        </w:rPr>
        <w:t>不应小于</w:t>
      </w:r>
      <w:r>
        <w:rPr>
          <w:color w:val="auto"/>
          <w:highlight w:val="none"/>
        </w:rPr>
        <w:t>10mm</w:t>
      </w:r>
      <w:r>
        <w:rPr>
          <w:rFonts w:hint="eastAsia"/>
          <w:color w:val="auto"/>
          <w:highlight w:val="none"/>
        </w:rPr>
        <w:t>，计入保护层的墙模与箍筋外</w:t>
      </w:r>
      <w:r>
        <w:rPr>
          <w:rFonts w:hint="eastAsia"/>
          <w:color w:val="auto"/>
          <w:highlight w:val="none"/>
          <w:lang w:eastAsia="zh-CN"/>
        </w:rPr>
        <w:t>侧之</w:t>
      </w:r>
      <w:r>
        <w:rPr>
          <w:rFonts w:hint="eastAsia"/>
          <w:color w:val="auto"/>
          <w:highlight w:val="none"/>
        </w:rPr>
        <w:t>间的距离</w:t>
      </w:r>
      <w:r>
        <w:rPr>
          <w:i/>
          <w:iCs/>
          <w:color w:val="auto"/>
          <w:highlight w:val="none"/>
        </w:rPr>
        <w:t>b</w:t>
      </w:r>
      <w:r>
        <w:rPr>
          <w:rFonts w:hint="eastAsia"/>
          <w:color w:val="auto"/>
          <w:highlight w:val="none"/>
        </w:rPr>
        <w:t>不应大于</w:t>
      </w:r>
      <w:r>
        <w:rPr>
          <w:color w:val="auto"/>
          <w:highlight w:val="none"/>
        </w:rPr>
        <w:t>30mm</w:t>
      </w:r>
      <w:r>
        <w:rPr>
          <w:rFonts w:hint="eastAsia"/>
          <w:color w:val="auto"/>
          <w:highlight w:val="none"/>
        </w:rPr>
        <w:t>且不宜小于</w:t>
      </w:r>
      <w:r>
        <w:rPr>
          <w:color w:val="auto"/>
          <w:highlight w:val="none"/>
        </w:rPr>
        <w:t>15mm</w:t>
      </w:r>
      <w:r>
        <w:rPr>
          <w:rFonts w:hint="eastAsia"/>
          <w:color w:val="auto"/>
          <w:highlight w:val="none"/>
        </w:rPr>
        <w:t>，并</w:t>
      </w:r>
      <w:r>
        <w:rPr>
          <w:rFonts w:hint="eastAsia"/>
          <w:color w:val="auto"/>
          <w:highlight w:val="none"/>
          <w:lang w:eastAsia="zh-CN"/>
        </w:rPr>
        <w:t>应</w:t>
      </w:r>
      <w:r>
        <w:rPr>
          <w:rFonts w:hint="eastAsia"/>
          <w:color w:val="auto"/>
          <w:highlight w:val="none"/>
        </w:rPr>
        <w:t>考虑墙模实际厚度进行包络设计（图5.3.1</w:t>
      </w:r>
      <w:r>
        <w:rPr>
          <w:rFonts w:hint="eastAsia"/>
          <w:color w:val="auto"/>
          <w:highlight w:val="none"/>
          <w:lang w:val="en-US" w:eastAsia="zh-CN"/>
        </w:rPr>
        <w:t>2</w:t>
      </w:r>
      <w:r>
        <w:rPr>
          <w:rFonts w:hint="eastAsia"/>
          <w:color w:val="auto"/>
          <w:highlight w:val="none"/>
        </w:rPr>
        <w:t>）；</w:t>
      </w:r>
    </w:p>
    <w:p>
      <w:pPr>
        <w:ind w:firstLine="421" w:firstLineChars="200"/>
        <w:rPr>
          <w:color w:val="auto"/>
          <w:highlight w:val="none"/>
        </w:rPr>
      </w:pPr>
      <w:bookmarkStart w:id="495" w:name="_Toc30629"/>
      <w:bookmarkStart w:id="496" w:name="_Toc30818"/>
      <w:r>
        <w:rPr>
          <w:b/>
          <w:color w:val="auto"/>
          <w:highlight w:val="none"/>
        </w:rPr>
        <w:t xml:space="preserve">3  </w:t>
      </w:r>
      <w:r>
        <w:rPr>
          <w:rFonts w:hint="eastAsia"/>
          <w:color w:val="auto"/>
          <w:highlight w:val="none"/>
        </w:rPr>
        <w:t>现浇剪力墙截面厚度不应小于1</w:t>
      </w:r>
      <w:r>
        <w:rPr>
          <w:color w:val="auto"/>
          <w:highlight w:val="none"/>
        </w:rPr>
        <w:t>60</w:t>
      </w:r>
      <w:r>
        <w:rPr>
          <w:rFonts w:hint="eastAsia"/>
          <w:color w:val="auto"/>
          <w:highlight w:val="none"/>
        </w:rPr>
        <w:t>mm；</w:t>
      </w:r>
      <w:bookmarkEnd w:id="495"/>
      <w:bookmarkEnd w:id="496"/>
    </w:p>
    <w:p>
      <w:pPr>
        <w:ind w:firstLine="421" w:firstLineChars="200"/>
        <w:rPr>
          <w:color w:val="auto"/>
          <w:highlight w:val="none"/>
        </w:rPr>
      </w:pPr>
      <w:r>
        <w:rPr>
          <w:b/>
          <w:color w:val="auto"/>
          <w:highlight w:val="none"/>
        </w:rPr>
        <w:t xml:space="preserve">4  </w:t>
      </w:r>
      <w:r>
        <w:rPr>
          <w:rFonts w:hint="eastAsia"/>
          <w:color w:val="auto"/>
          <w:highlight w:val="none"/>
        </w:rPr>
        <w:t>墙模的</w:t>
      </w:r>
      <w:r>
        <w:rPr>
          <w:color w:val="auto"/>
          <w:szCs w:val="21"/>
          <w:highlight w:val="none"/>
        </w:rPr>
        <w:t>分布钢筋直径不宜小于6mm，间距不宜大于150mm</w:t>
      </w:r>
      <w:r>
        <w:rPr>
          <w:rFonts w:hint="eastAsia"/>
          <w:color w:val="auto"/>
          <w:szCs w:val="21"/>
          <w:highlight w:val="none"/>
        </w:rPr>
        <w:t>，且墙模中的钢筋不应作为剪力墙的受力钢筋考虑；</w:t>
      </w:r>
    </w:p>
    <w:p>
      <w:pPr>
        <w:ind w:firstLine="421" w:firstLineChars="200"/>
        <w:rPr>
          <w:color w:val="auto"/>
          <w:highlight w:val="none"/>
        </w:rPr>
      </w:pPr>
      <w:r>
        <w:rPr>
          <w:b/>
          <w:color w:val="auto"/>
          <w:highlight w:val="none"/>
        </w:rPr>
        <w:t xml:space="preserve">5  </w:t>
      </w:r>
      <w:r>
        <w:rPr>
          <w:rFonts w:hint="eastAsia"/>
          <w:color w:val="auto"/>
          <w:highlight w:val="none"/>
        </w:rPr>
        <w:t>墙模选用的混凝土强度等级不应低于现浇剪力墙的混凝土强度等级。</w:t>
      </w:r>
    </w:p>
    <w:p>
      <w:pPr>
        <w:adjustRightInd w:val="0"/>
        <w:snapToGrid w:val="0"/>
        <w:jc w:val="center"/>
        <w:rPr>
          <w:color w:val="auto"/>
          <w:highlight w:val="none"/>
        </w:rPr>
      </w:pPr>
      <w:r>
        <w:rPr>
          <w:color w:val="auto"/>
          <w:highlight w:val="none"/>
        </w:rPr>
        <w:drawing>
          <wp:inline distT="0" distB="0" distL="114300" distR="114300">
            <wp:extent cx="3244215" cy="1581150"/>
            <wp:effectExtent l="0" t="0" r="1905" b="3810"/>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36"/>
                    <a:srcRect l="4353" r="2823" b="11349"/>
                    <a:stretch>
                      <a:fillRect/>
                    </a:stretch>
                  </pic:blipFill>
                  <pic:spPr>
                    <a:xfrm>
                      <a:off x="0" y="0"/>
                      <a:ext cx="3244215" cy="1581150"/>
                    </a:xfrm>
                    <a:prstGeom prst="rect">
                      <a:avLst/>
                    </a:prstGeom>
                    <a:noFill/>
                    <a:ln>
                      <a:noFill/>
                    </a:ln>
                  </pic:spPr>
                </pic:pic>
              </a:graphicData>
            </a:graphic>
          </wp:inline>
        </w:drawing>
      </w:r>
    </w:p>
    <w:p>
      <w:pPr>
        <w:pStyle w:val="54"/>
        <w:rPr>
          <w:rFonts w:eastAsia="仿宋"/>
          <w:b/>
          <w:bCs/>
          <w:color w:val="auto"/>
          <w:sz w:val="21"/>
          <w:highlight w:val="none"/>
        </w:rPr>
      </w:pPr>
      <w:r>
        <w:rPr>
          <w:rFonts w:eastAsia="仿宋"/>
          <w:b/>
          <w:bCs/>
          <w:color w:val="auto"/>
          <w:sz w:val="21"/>
          <w:highlight w:val="none"/>
        </w:rPr>
        <w:t>图5</w:t>
      </w:r>
      <w:r>
        <w:rPr>
          <w:rFonts w:hint="eastAsia" w:ascii="仿宋" w:hAnsi="仿宋" w:eastAsia="仿宋" w:cs="仿宋"/>
          <w:b/>
          <w:bCs/>
          <w:color w:val="auto"/>
          <w:sz w:val="21"/>
          <w:highlight w:val="none"/>
        </w:rPr>
        <w:t>.</w:t>
      </w:r>
      <w:r>
        <w:rPr>
          <w:rFonts w:eastAsia="仿宋"/>
          <w:b/>
          <w:bCs/>
          <w:color w:val="auto"/>
          <w:sz w:val="21"/>
          <w:highlight w:val="none"/>
        </w:rPr>
        <w:t>3</w:t>
      </w:r>
      <w:r>
        <w:rPr>
          <w:rFonts w:hint="eastAsia" w:ascii="仿宋" w:hAnsi="仿宋" w:eastAsia="仿宋" w:cs="仿宋"/>
          <w:b/>
          <w:bCs/>
          <w:color w:val="auto"/>
          <w:sz w:val="21"/>
          <w:highlight w:val="none"/>
        </w:rPr>
        <w:t>.</w:t>
      </w:r>
      <w:r>
        <w:rPr>
          <w:rFonts w:eastAsia="仿宋"/>
          <w:b/>
          <w:bCs/>
          <w:color w:val="auto"/>
          <w:sz w:val="21"/>
          <w:highlight w:val="none"/>
        </w:rPr>
        <w:t>1</w:t>
      </w:r>
      <w:r>
        <w:rPr>
          <w:rFonts w:hint="eastAsia" w:eastAsia="仿宋"/>
          <w:b/>
          <w:bCs/>
          <w:color w:val="auto"/>
          <w:sz w:val="21"/>
          <w:highlight w:val="none"/>
        </w:rPr>
        <w:t>2</w:t>
      </w:r>
      <w:r>
        <w:rPr>
          <w:rFonts w:eastAsia="仿宋"/>
          <w:b/>
          <w:bCs/>
          <w:color w:val="auto"/>
          <w:sz w:val="21"/>
          <w:highlight w:val="none"/>
        </w:rPr>
        <w:t xml:space="preserve">  边缘构件区域墙模保护层厚度示意图</w:t>
      </w:r>
    </w:p>
    <w:p>
      <w:pPr>
        <w:pStyle w:val="54"/>
        <w:rPr>
          <w:rFonts w:eastAsia="仿宋"/>
          <w:bCs/>
          <w:color w:val="auto"/>
          <w:szCs w:val="18"/>
          <w:highlight w:val="none"/>
        </w:rPr>
      </w:pPr>
      <w:r>
        <w:rPr>
          <w:rFonts w:eastAsia="仿宋"/>
          <w:bCs/>
          <w:color w:val="auto"/>
          <w:szCs w:val="18"/>
          <w:highlight w:val="none"/>
        </w:rPr>
        <w:t>a—箍筋外皮到墙模内侧的距离；b—钢筋保护层厚度计算值</w:t>
      </w:r>
    </w:p>
    <w:p>
      <w:pPr>
        <w:numPr>
          <w:ilvl w:val="0"/>
          <w:numId w:val="12"/>
        </w:numPr>
        <w:rPr>
          <w:color w:val="auto"/>
          <w:highlight w:val="none"/>
        </w:rPr>
      </w:pPr>
      <w:r>
        <w:rPr>
          <w:rFonts w:hint="eastAsia"/>
          <w:color w:val="auto"/>
          <w:highlight w:val="none"/>
        </w:rPr>
        <w:t>模块化剪力墙结构及模块化箱模结构中侧面梁模作为梁的保护层参与受力计算时，应符合下列规定：</w:t>
      </w:r>
    </w:p>
    <w:p>
      <w:pPr>
        <w:ind w:firstLine="421" w:firstLineChars="200"/>
        <w:rPr>
          <w:color w:val="auto"/>
          <w:highlight w:val="none"/>
        </w:rPr>
      </w:pPr>
      <w:r>
        <w:rPr>
          <w:b/>
          <w:color w:val="auto"/>
          <w:highlight w:val="none"/>
        </w:rPr>
        <w:t xml:space="preserve">1  </w:t>
      </w:r>
      <w:r>
        <w:rPr>
          <w:rFonts w:hint="eastAsia"/>
          <w:color w:val="auto"/>
          <w:highlight w:val="none"/>
        </w:rPr>
        <w:t>在梁端部箍筋加密区范围内，梁</w:t>
      </w:r>
      <w:r>
        <w:rPr>
          <w:color w:val="auto"/>
          <w:highlight w:val="none"/>
        </w:rPr>
        <w:t>模与现浇混凝土之间</w:t>
      </w:r>
      <w:r>
        <w:rPr>
          <w:rFonts w:hint="eastAsia"/>
          <w:color w:val="auto"/>
          <w:highlight w:val="none"/>
        </w:rPr>
        <w:t>应采用钢筋锚固或其他可靠方式进行连接，沿梁长度方向锚固点间距不宜大于45</w:t>
      </w:r>
      <w:r>
        <w:rPr>
          <w:color w:val="auto"/>
          <w:highlight w:val="none"/>
        </w:rPr>
        <w:t>0</w:t>
      </w:r>
      <w:r>
        <w:rPr>
          <w:rFonts w:hint="eastAsia"/>
          <w:color w:val="auto"/>
          <w:highlight w:val="none"/>
        </w:rPr>
        <w:t>mm；</w:t>
      </w:r>
    </w:p>
    <w:p>
      <w:pPr>
        <w:ind w:firstLine="421" w:firstLineChars="200"/>
        <w:rPr>
          <w:color w:val="auto"/>
          <w:highlight w:val="none"/>
        </w:rPr>
      </w:pPr>
      <w:r>
        <w:rPr>
          <w:rFonts w:hint="eastAsia"/>
          <w:b/>
          <w:color w:val="auto"/>
          <w:highlight w:val="none"/>
        </w:rPr>
        <w:t>2</w:t>
      </w:r>
      <w:r>
        <w:rPr>
          <w:b/>
          <w:color w:val="auto"/>
          <w:highlight w:val="none"/>
        </w:rPr>
        <w:t xml:space="preserve">  </w:t>
      </w:r>
      <w:r>
        <w:rPr>
          <w:rFonts w:hint="eastAsia"/>
          <w:color w:val="auto"/>
          <w:szCs w:val="21"/>
          <w:highlight w:val="none"/>
        </w:rPr>
        <w:t>梁模的</w:t>
      </w:r>
      <w:r>
        <w:rPr>
          <w:color w:val="auto"/>
          <w:szCs w:val="21"/>
          <w:highlight w:val="none"/>
        </w:rPr>
        <w:t>分布钢筋直径不宜小于6mm，间距不宜大于150mm</w:t>
      </w:r>
      <w:r>
        <w:rPr>
          <w:rFonts w:hint="eastAsia"/>
          <w:color w:val="auto"/>
          <w:szCs w:val="21"/>
          <w:highlight w:val="none"/>
        </w:rPr>
        <w:t>，且</w:t>
      </w:r>
      <w:r>
        <w:rPr>
          <w:color w:val="auto"/>
          <w:szCs w:val="21"/>
          <w:highlight w:val="none"/>
        </w:rPr>
        <w:t>梁</w:t>
      </w:r>
      <w:r>
        <w:rPr>
          <w:rFonts w:hint="eastAsia"/>
          <w:color w:val="auto"/>
          <w:szCs w:val="21"/>
          <w:highlight w:val="none"/>
        </w:rPr>
        <w:t>模中的钢筋不应作为梁的受力钢筋考虑；</w:t>
      </w:r>
    </w:p>
    <w:p>
      <w:pPr>
        <w:ind w:firstLine="421" w:firstLineChars="200"/>
        <w:rPr>
          <w:color w:val="auto"/>
          <w:highlight w:val="none"/>
        </w:rPr>
      </w:pPr>
      <w:r>
        <w:rPr>
          <w:rFonts w:hint="eastAsia"/>
          <w:b/>
          <w:color w:val="auto"/>
          <w:highlight w:val="none"/>
        </w:rPr>
        <w:t>3</w:t>
      </w:r>
      <w:r>
        <w:rPr>
          <w:b/>
          <w:color w:val="auto"/>
          <w:highlight w:val="none"/>
        </w:rPr>
        <w:t xml:space="preserve">  </w:t>
      </w:r>
      <w:r>
        <w:rPr>
          <w:color w:val="auto"/>
          <w:szCs w:val="21"/>
          <w:highlight w:val="none"/>
        </w:rPr>
        <w:t>梁</w:t>
      </w:r>
      <w:r>
        <w:rPr>
          <w:rFonts w:hint="eastAsia"/>
          <w:color w:val="auto"/>
          <w:highlight w:val="none"/>
        </w:rPr>
        <w:t>模选用的混凝土强度等级不应低于现浇梁的混凝土强度等级，且设计时应按现浇梁的混凝土强度等级取值。</w:t>
      </w:r>
    </w:p>
    <w:p>
      <w:pPr>
        <w:pStyle w:val="4"/>
        <w:rPr>
          <w:color w:val="auto"/>
          <w:highlight w:val="none"/>
        </w:rPr>
      </w:pPr>
      <w:bookmarkStart w:id="497" w:name="_Toc21933"/>
      <w:bookmarkStart w:id="498" w:name="_Toc26308"/>
      <w:bookmarkStart w:id="499" w:name="_Toc20123"/>
      <w:bookmarkStart w:id="500" w:name="_Toc15942"/>
      <w:bookmarkStart w:id="501" w:name="_Toc7313"/>
      <w:bookmarkStart w:id="502" w:name="_Toc30234"/>
      <w:bookmarkStart w:id="503" w:name="_Toc13750"/>
      <w:bookmarkStart w:id="504" w:name="_Toc17376"/>
      <w:bookmarkStart w:id="505" w:name="_Toc29712"/>
      <w:bookmarkStart w:id="506" w:name="_Toc14396"/>
      <w:bookmarkStart w:id="507" w:name="_Toc31180"/>
      <w:bookmarkStart w:id="508" w:name="_Toc3207"/>
      <w:bookmarkStart w:id="509" w:name="_Toc8306"/>
      <w:bookmarkStart w:id="510" w:name="_Toc19304"/>
      <w:bookmarkStart w:id="511" w:name="_Toc22312"/>
      <w:bookmarkStart w:id="512" w:name="_Toc5034"/>
      <w:bookmarkStart w:id="513" w:name="_Toc26026"/>
      <w:bookmarkStart w:id="514" w:name="_Toc31575"/>
      <w:bookmarkStart w:id="515" w:name="_Toc4055"/>
      <w:bookmarkStart w:id="516" w:name="_Toc17383"/>
      <w:bookmarkStart w:id="517" w:name="_Toc28926"/>
      <w:bookmarkStart w:id="518" w:name="_Toc27910"/>
      <w:bookmarkStart w:id="519" w:name="_Toc14737"/>
      <w:bookmarkStart w:id="520" w:name="_Toc6062"/>
      <w:bookmarkStart w:id="521" w:name="_Toc13897"/>
      <w:bookmarkStart w:id="522" w:name="_Toc25019"/>
      <w:bookmarkStart w:id="523" w:name="_Toc4311"/>
      <w:bookmarkStart w:id="524" w:name="_Toc4971"/>
      <w:bookmarkStart w:id="525" w:name="_Toc18062"/>
      <w:bookmarkStart w:id="526" w:name="_Toc31408"/>
      <w:bookmarkStart w:id="527" w:name="_Toc22605"/>
      <w:bookmarkStart w:id="528" w:name="_Toc13536"/>
      <w:bookmarkStart w:id="529" w:name="_Toc20744"/>
      <w:r>
        <w:rPr>
          <w:b/>
          <w:bCs w:val="0"/>
          <w:color w:val="auto"/>
          <w:highlight w:val="none"/>
        </w:rPr>
        <w:t>5</w:t>
      </w:r>
      <w:r>
        <w:rPr>
          <w:rFonts w:hint="eastAsia" w:ascii="仿宋" w:hAnsi="仿宋" w:eastAsia="仿宋" w:cs="仿宋"/>
          <w:b/>
          <w:bCs w:val="0"/>
          <w:color w:val="auto"/>
          <w:highlight w:val="none"/>
        </w:rPr>
        <w:t>.</w:t>
      </w:r>
      <w:r>
        <w:rPr>
          <w:rFonts w:hint="eastAsia"/>
          <w:b/>
          <w:bCs w:val="0"/>
          <w:color w:val="auto"/>
          <w:highlight w:val="none"/>
        </w:rPr>
        <w:t>4</w:t>
      </w:r>
      <w:r>
        <w:rPr>
          <w:color w:val="auto"/>
          <w:highlight w:val="none"/>
        </w:rPr>
        <w:t xml:space="preserve">  模块单元设计</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pPr>
        <w:pStyle w:val="47"/>
        <w:numPr>
          <w:ilvl w:val="0"/>
          <w:numId w:val="13"/>
        </w:numPr>
        <w:tabs>
          <w:tab w:val="left" w:pos="0"/>
        </w:tabs>
        <w:ind w:firstLineChars="0"/>
        <w:jc w:val="left"/>
        <w:rPr>
          <w:rFonts w:eastAsia="黑体"/>
          <w:color w:val="auto"/>
          <w:sz w:val="30"/>
          <w:szCs w:val="30"/>
          <w:highlight w:val="none"/>
        </w:rPr>
      </w:pPr>
      <w:r>
        <w:rPr>
          <w:color w:val="auto"/>
          <w:highlight w:val="none"/>
        </w:rPr>
        <w:t>模块单元除应</w:t>
      </w:r>
      <w:r>
        <w:rPr>
          <w:rFonts w:hint="eastAsia"/>
          <w:color w:val="auto"/>
          <w:highlight w:val="none"/>
        </w:rPr>
        <w:t>符合</w:t>
      </w:r>
      <w:r>
        <w:rPr>
          <w:color w:val="auto"/>
          <w:highlight w:val="none"/>
        </w:rPr>
        <w:t>模块化结构在持久设计状况和地震设计状况中的各项设计要求外，尚应对模块单元进行短暂设计状况的验算。短暂设计状况的验算应符合国家现行标准《混凝土结构工程施工规范》GB 50666和《装配式混凝土结构技术规程》JGJ 1的有关规定。</w:t>
      </w:r>
    </w:p>
    <w:p>
      <w:pPr>
        <w:pStyle w:val="47"/>
        <w:numPr>
          <w:ilvl w:val="0"/>
          <w:numId w:val="13"/>
        </w:numPr>
        <w:tabs>
          <w:tab w:val="left" w:pos="0"/>
        </w:tabs>
        <w:ind w:firstLineChars="0"/>
        <w:rPr>
          <w:color w:val="auto"/>
          <w:highlight w:val="none"/>
        </w:rPr>
      </w:pPr>
      <w:r>
        <w:rPr>
          <w:color w:val="auto"/>
          <w:highlight w:val="none"/>
        </w:rPr>
        <w:t>模块单元的设计应符合下列规定：</w:t>
      </w:r>
    </w:p>
    <w:p>
      <w:pPr>
        <w:ind w:firstLine="421" w:firstLineChars="200"/>
        <w:rPr>
          <w:color w:val="auto"/>
          <w:szCs w:val="21"/>
          <w:highlight w:val="none"/>
        </w:rPr>
      </w:pPr>
      <w:r>
        <w:rPr>
          <w:b/>
          <w:bCs/>
          <w:color w:val="auto"/>
          <w:highlight w:val="none"/>
        </w:rPr>
        <w:t xml:space="preserve">1  </w:t>
      </w:r>
      <w:r>
        <w:rPr>
          <w:color w:val="auto"/>
          <w:szCs w:val="21"/>
          <w:highlight w:val="none"/>
        </w:rPr>
        <w:t>模块单元外形宜</w:t>
      </w:r>
      <w:r>
        <w:rPr>
          <w:rFonts w:hint="eastAsia"/>
          <w:color w:val="auto"/>
          <w:szCs w:val="21"/>
          <w:highlight w:val="none"/>
        </w:rPr>
        <w:t>简洁</w:t>
      </w:r>
      <w:r>
        <w:rPr>
          <w:color w:val="auto"/>
          <w:szCs w:val="21"/>
          <w:highlight w:val="none"/>
        </w:rPr>
        <w:t>、规则，满足模数协调、标准化设计、规模化制造的要求；</w:t>
      </w:r>
    </w:p>
    <w:p>
      <w:pPr>
        <w:ind w:firstLine="421" w:firstLineChars="200"/>
        <w:rPr>
          <w:color w:val="auto"/>
          <w:highlight w:val="none"/>
        </w:rPr>
      </w:pPr>
      <w:r>
        <w:rPr>
          <w:b/>
          <w:bCs/>
          <w:color w:val="auto"/>
          <w:szCs w:val="21"/>
          <w:highlight w:val="none"/>
        </w:rPr>
        <w:t xml:space="preserve">2  </w:t>
      </w:r>
      <w:r>
        <w:rPr>
          <w:color w:val="auto"/>
          <w:szCs w:val="21"/>
          <w:highlight w:val="none"/>
        </w:rPr>
        <w:t>模块单元</w:t>
      </w:r>
      <w:r>
        <w:rPr>
          <w:color w:val="auto"/>
          <w:highlight w:val="none"/>
        </w:rPr>
        <w:t>宜整合围护系统、内装系统和机电管线系统；</w:t>
      </w:r>
    </w:p>
    <w:p>
      <w:pPr>
        <w:ind w:firstLine="421" w:firstLineChars="200"/>
        <w:rPr>
          <w:b/>
          <w:bCs/>
          <w:color w:val="auto"/>
          <w:highlight w:val="none"/>
        </w:rPr>
      </w:pPr>
      <w:r>
        <w:rPr>
          <w:b/>
          <w:bCs/>
          <w:color w:val="auto"/>
          <w:highlight w:val="none"/>
        </w:rPr>
        <w:t xml:space="preserve">3  </w:t>
      </w:r>
      <w:r>
        <w:rPr>
          <w:rFonts w:hint="eastAsia"/>
          <w:color w:val="auto"/>
          <w:highlight w:val="none"/>
        </w:rPr>
        <w:t>模块单元的顶板、底板应与四周竖向构件可靠连接，满足模块各种工况下的性能要求；</w:t>
      </w:r>
    </w:p>
    <w:p>
      <w:pPr>
        <w:ind w:firstLine="421" w:firstLineChars="200"/>
        <w:rPr>
          <w:color w:val="auto"/>
          <w:highlight w:val="none"/>
        </w:rPr>
      </w:pPr>
      <w:r>
        <w:rPr>
          <w:rFonts w:hint="eastAsia"/>
          <w:b/>
          <w:bCs/>
          <w:color w:val="auto"/>
          <w:highlight w:val="none"/>
        </w:rPr>
        <w:t xml:space="preserve">4  </w:t>
      </w:r>
      <w:r>
        <w:rPr>
          <w:color w:val="auto"/>
          <w:highlight w:val="none"/>
        </w:rPr>
        <w:t>模块单元应具有一定的刚度和</w:t>
      </w:r>
      <w:r>
        <w:rPr>
          <w:rFonts w:hint="eastAsia"/>
          <w:color w:val="auto"/>
          <w:highlight w:val="none"/>
        </w:rPr>
        <w:t>承载能力</w:t>
      </w:r>
      <w:r>
        <w:rPr>
          <w:color w:val="auto"/>
          <w:highlight w:val="none"/>
        </w:rPr>
        <w:t>。</w:t>
      </w:r>
    </w:p>
    <w:p>
      <w:pPr>
        <w:pStyle w:val="47"/>
        <w:numPr>
          <w:ilvl w:val="0"/>
          <w:numId w:val="13"/>
        </w:numPr>
        <w:tabs>
          <w:tab w:val="left" w:pos="0"/>
        </w:tabs>
        <w:ind w:firstLineChars="0"/>
        <w:rPr>
          <w:color w:val="auto"/>
          <w:highlight w:val="none"/>
        </w:rPr>
      </w:pPr>
      <w:r>
        <w:rPr>
          <w:rFonts w:hint="eastAsia"/>
          <w:color w:val="auto"/>
          <w:highlight w:val="none"/>
        </w:rPr>
        <w:t>模块单元的梁、柱楼板等结构构件及连接节点的抗震措施，</w:t>
      </w:r>
      <w:r>
        <w:rPr>
          <w:rFonts w:hint="eastAsia"/>
          <w:color w:val="auto"/>
          <w:highlight w:val="none"/>
          <w:lang w:eastAsia="zh-CN"/>
        </w:rPr>
        <w:t>除</w:t>
      </w:r>
      <w:r>
        <w:rPr>
          <w:rFonts w:hint="eastAsia"/>
          <w:color w:val="auto"/>
          <w:highlight w:val="none"/>
          <w:lang w:val="en-US" w:eastAsia="zh-CN"/>
        </w:rPr>
        <w:t>符合</w:t>
      </w:r>
      <w:r>
        <w:rPr>
          <w:rFonts w:hint="eastAsia"/>
          <w:color w:val="auto"/>
          <w:highlight w:val="none"/>
          <w:lang w:eastAsia="zh-CN"/>
        </w:rPr>
        <w:t>本导则规定外</w:t>
      </w:r>
      <w:r>
        <w:rPr>
          <w:rFonts w:hint="eastAsia"/>
          <w:color w:val="auto"/>
          <w:highlight w:val="none"/>
        </w:rPr>
        <w:t>，</w:t>
      </w:r>
      <w:r>
        <w:rPr>
          <w:rFonts w:hint="eastAsia"/>
          <w:color w:val="auto"/>
          <w:highlight w:val="none"/>
          <w:lang w:eastAsia="zh-CN"/>
        </w:rPr>
        <w:t>还</w:t>
      </w:r>
      <w:r>
        <w:rPr>
          <w:rFonts w:hint="eastAsia"/>
          <w:color w:val="auto"/>
          <w:highlight w:val="none"/>
        </w:rPr>
        <w:t>应按现行上海市地方标准《建筑抗震设计标准》DG/TJ 08-9的有关规定执行。</w:t>
      </w:r>
    </w:p>
    <w:p>
      <w:pPr>
        <w:pStyle w:val="47"/>
        <w:numPr>
          <w:ilvl w:val="0"/>
          <w:numId w:val="13"/>
        </w:numPr>
        <w:tabs>
          <w:tab w:val="left" w:pos="0"/>
        </w:tabs>
        <w:ind w:firstLineChars="0"/>
        <w:rPr>
          <w:color w:val="auto"/>
          <w:highlight w:val="none"/>
        </w:rPr>
      </w:pPr>
      <w:r>
        <w:rPr>
          <w:color w:val="auto"/>
          <w:highlight w:val="none"/>
        </w:rPr>
        <w:t>模块单元短暂设计状况</w:t>
      </w:r>
      <w:r>
        <w:rPr>
          <w:rFonts w:hint="eastAsia"/>
          <w:color w:val="auto"/>
          <w:highlight w:val="none"/>
        </w:rPr>
        <w:t>应包含</w:t>
      </w:r>
      <w:r>
        <w:rPr>
          <w:color w:val="auto"/>
          <w:highlight w:val="none"/>
        </w:rPr>
        <w:t>脱模、运输、吊装、安装、储存等工况，</w:t>
      </w:r>
      <w:r>
        <w:rPr>
          <w:rFonts w:hint="eastAsia"/>
          <w:color w:val="auto"/>
          <w:highlight w:val="none"/>
        </w:rPr>
        <w:t>并</w:t>
      </w:r>
      <w:r>
        <w:rPr>
          <w:color w:val="auto"/>
          <w:highlight w:val="none"/>
        </w:rPr>
        <w:t>应符合</w:t>
      </w:r>
      <w:r>
        <w:rPr>
          <w:rFonts w:hint="eastAsia"/>
          <w:color w:val="auto"/>
          <w:highlight w:val="none"/>
        </w:rPr>
        <w:t>下列规定</w:t>
      </w:r>
      <w:r>
        <w:rPr>
          <w:color w:val="auto"/>
          <w:highlight w:val="none"/>
        </w:rPr>
        <w:t>：</w:t>
      </w:r>
    </w:p>
    <w:p>
      <w:pPr>
        <w:ind w:firstLine="421" w:firstLineChars="200"/>
        <w:rPr>
          <w:b/>
          <w:color w:val="auto"/>
          <w:highlight w:val="none"/>
        </w:rPr>
      </w:pPr>
      <w:bookmarkStart w:id="530" w:name="_Toc20384"/>
      <w:bookmarkStart w:id="531" w:name="_Toc24581"/>
      <w:r>
        <w:rPr>
          <w:rFonts w:hint="eastAsia" w:eastAsia="黑体"/>
          <w:b/>
          <w:color w:val="auto"/>
          <w:highlight w:val="none"/>
        </w:rPr>
        <w:t>1</w:t>
      </w:r>
      <w:r>
        <w:rPr>
          <w:rFonts w:eastAsia="黑体"/>
          <w:b/>
          <w:color w:val="auto"/>
          <w:highlight w:val="none"/>
        </w:rPr>
        <w:t xml:space="preserve">  </w:t>
      </w:r>
      <w:r>
        <w:rPr>
          <w:color w:val="auto"/>
          <w:highlight w:val="none"/>
        </w:rPr>
        <w:t>框架式模块</w:t>
      </w:r>
      <w:r>
        <w:rPr>
          <w:rFonts w:hint="eastAsia"/>
          <w:color w:val="auto"/>
          <w:highlight w:val="none"/>
        </w:rPr>
        <w:t>单元应对</w:t>
      </w:r>
      <w:r>
        <w:rPr>
          <w:color w:val="auto"/>
          <w:highlight w:val="none"/>
        </w:rPr>
        <w:t>梁、柱、顶板</w:t>
      </w:r>
      <w:r>
        <w:rPr>
          <w:rFonts w:hint="eastAsia"/>
          <w:color w:val="auto"/>
          <w:highlight w:val="none"/>
        </w:rPr>
        <w:t>进行强度验算；</w:t>
      </w:r>
      <w:bookmarkEnd w:id="530"/>
      <w:bookmarkEnd w:id="531"/>
    </w:p>
    <w:p>
      <w:pPr>
        <w:ind w:firstLine="421" w:firstLineChars="200"/>
        <w:rPr>
          <w:rFonts w:eastAsia="仿宋"/>
          <w:color w:val="auto"/>
          <w:highlight w:val="none"/>
        </w:rPr>
      </w:pPr>
      <w:r>
        <w:rPr>
          <w:rFonts w:hint="eastAsia"/>
          <w:b/>
          <w:color w:val="auto"/>
          <w:highlight w:val="none"/>
        </w:rPr>
        <w:t>2</w:t>
      </w:r>
      <w:r>
        <w:rPr>
          <w:rFonts w:hint="eastAsia"/>
          <w:bCs/>
          <w:color w:val="auto"/>
          <w:highlight w:val="none"/>
        </w:rPr>
        <w:t xml:space="preserve">  </w:t>
      </w:r>
      <w:r>
        <w:rPr>
          <w:color w:val="auto"/>
          <w:highlight w:val="none"/>
        </w:rPr>
        <w:t>箱模式模块</w:t>
      </w:r>
      <w:r>
        <w:rPr>
          <w:rFonts w:hint="eastAsia"/>
          <w:color w:val="auto"/>
          <w:highlight w:val="none"/>
        </w:rPr>
        <w:t>单元应对</w:t>
      </w:r>
      <w:r>
        <w:rPr>
          <w:color w:val="auto"/>
          <w:highlight w:val="none"/>
        </w:rPr>
        <w:t>非承重墙体、底板</w:t>
      </w:r>
      <w:r>
        <w:rPr>
          <w:rFonts w:hint="eastAsia"/>
          <w:color w:val="auto"/>
          <w:highlight w:val="none"/>
        </w:rPr>
        <w:t>、</w:t>
      </w:r>
      <w:r>
        <w:rPr>
          <w:color w:val="auto"/>
          <w:highlight w:val="none"/>
        </w:rPr>
        <w:t>顶板</w:t>
      </w:r>
      <w:r>
        <w:rPr>
          <w:rFonts w:hint="eastAsia"/>
          <w:color w:val="auto"/>
          <w:highlight w:val="none"/>
        </w:rPr>
        <w:t>及墙模进行强度验算，应对非承重墙体进行承载力验算和局部稳定性验算；</w:t>
      </w:r>
    </w:p>
    <w:p>
      <w:pPr>
        <w:ind w:firstLine="421" w:firstLineChars="200"/>
        <w:rPr>
          <w:color w:val="auto"/>
          <w:highlight w:val="none"/>
        </w:rPr>
      </w:pPr>
      <w:r>
        <w:rPr>
          <w:rFonts w:hint="eastAsia"/>
          <w:b/>
          <w:bCs/>
          <w:color w:val="auto"/>
          <w:highlight w:val="none"/>
        </w:rPr>
        <w:t>3</w:t>
      </w:r>
      <w:r>
        <w:rPr>
          <w:color w:val="auto"/>
          <w:highlight w:val="none"/>
        </w:rPr>
        <w:t xml:space="preserve">  </w:t>
      </w:r>
      <w:r>
        <w:rPr>
          <w:rFonts w:hint="eastAsia"/>
          <w:color w:val="auto"/>
          <w:highlight w:val="none"/>
        </w:rPr>
        <w:t>必要时应对箱模式模块单元进行有限元分析，验算其承载能力和局部稳定性。</w:t>
      </w:r>
    </w:p>
    <w:p>
      <w:pPr>
        <w:pStyle w:val="47"/>
        <w:numPr>
          <w:ilvl w:val="0"/>
          <w:numId w:val="13"/>
        </w:numPr>
        <w:tabs>
          <w:tab w:val="left" w:pos="0"/>
        </w:tabs>
        <w:ind w:firstLineChars="0"/>
        <w:rPr>
          <w:color w:val="auto"/>
          <w:highlight w:val="none"/>
        </w:rPr>
      </w:pPr>
      <w:r>
        <w:rPr>
          <w:color w:val="auto"/>
          <w:highlight w:val="none"/>
        </w:rPr>
        <w:t>模块单元中的预埋吊件及临时支撑应根据现行国家标准《混凝土结构工程施工规范》GB</w:t>
      </w:r>
      <w:r>
        <w:rPr>
          <w:rFonts w:hint="eastAsia"/>
          <w:color w:val="auto"/>
          <w:highlight w:val="none"/>
        </w:rPr>
        <w:t xml:space="preserve"> </w:t>
      </w:r>
      <w:r>
        <w:rPr>
          <w:color w:val="auto"/>
          <w:highlight w:val="none"/>
        </w:rPr>
        <w:t>50666的有关规定</w:t>
      </w:r>
      <w:r>
        <w:rPr>
          <w:rFonts w:hint="eastAsia"/>
          <w:color w:val="auto"/>
          <w:highlight w:val="none"/>
        </w:rPr>
        <w:t>进行</w:t>
      </w:r>
      <w:r>
        <w:rPr>
          <w:color w:val="auto"/>
          <w:highlight w:val="none"/>
        </w:rPr>
        <w:t>施工验算。</w:t>
      </w:r>
    </w:p>
    <w:p>
      <w:pPr>
        <w:pStyle w:val="5"/>
        <w:rPr>
          <w:color w:val="auto"/>
          <w:highlight w:val="none"/>
        </w:rPr>
      </w:pPr>
      <w:bookmarkStart w:id="532" w:name="_Toc18748"/>
      <w:bookmarkStart w:id="533" w:name="_Toc2180"/>
      <w:bookmarkStart w:id="534" w:name="_Toc12784"/>
      <w:bookmarkStart w:id="535" w:name="_Toc7623"/>
      <w:r>
        <w:rPr>
          <w:b/>
          <w:bCs w:val="0"/>
          <w:color w:val="auto"/>
          <w:highlight w:val="none"/>
        </w:rPr>
        <w:t>I</w:t>
      </w:r>
      <w:r>
        <w:rPr>
          <w:color w:val="auto"/>
          <w:highlight w:val="none"/>
        </w:rPr>
        <w:t xml:space="preserve">  框架式模块</w:t>
      </w:r>
      <w:r>
        <w:rPr>
          <w:rFonts w:hint="eastAsia"/>
          <w:color w:val="auto"/>
          <w:highlight w:val="none"/>
        </w:rPr>
        <w:t>单元</w:t>
      </w:r>
      <w:bookmarkEnd w:id="532"/>
      <w:bookmarkEnd w:id="533"/>
      <w:bookmarkEnd w:id="534"/>
      <w:bookmarkEnd w:id="535"/>
    </w:p>
    <w:p>
      <w:pPr>
        <w:pStyle w:val="47"/>
        <w:numPr>
          <w:ilvl w:val="0"/>
          <w:numId w:val="13"/>
        </w:numPr>
        <w:tabs>
          <w:tab w:val="left" w:pos="0"/>
        </w:tabs>
        <w:ind w:firstLineChars="0"/>
        <w:rPr>
          <w:color w:val="auto"/>
          <w:highlight w:val="none"/>
        </w:rPr>
      </w:pPr>
      <w:r>
        <w:rPr>
          <w:color w:val="auto"/>
          <w:highlight w:val="none"/>
        </w:rPr>
        <w:t>框架式模块</w:t>
      </w:r>
      <w:r>
        <w:rPr>
          <w:rFonts w:hint="eastAsia"/>
          <w:color w:val="auto"/>
          <w:highlight w:val="none"/>
        </w:rPr>
        <w:t>单元</w:t>
      </w:r>
      <w:r>
        <w:rPr>
          <w:color w:val="auto"/>
          <w:highlight w:val="none"/>
        </w:rPr>
        <w:t>中，承重构件的截面设计应符合下列规定：</w:t>
      </w:r>
    </w:p>
    <w:p>
      <w:pPr>
        <w:ind w:firstLine="421" w:firstLineChars="200"/>
        <w:rPr>
          <w:color w:val="auto"/>
          <w:szCs w:val="21"/>
          <w:highlight w:val="none"/>
        </w:rPr>
      </w:pPr>
      <w:r>
        <w:rPr>
          <w:b/>
          <w:color w:val="auto"/>
          <w:szCs w:val="21"/>
          <w:highlight w:val="none"/>
        </w:rPr>
        <w:t xml:space="preserve">1  </w:t>
      </w:r>
      <w:r>
        <w:rPr>
          <w:color w:val="auto"/>
          <w:szCs w:val="21"/>
          <w:highlight w:val="none"/>
        </w:rPr>
        <w:t>框架梁的宽度不宜小于200mm，短跨和长跨框架梁</w:t>
      </w:r>
      <w:r>
        <w:rPr>
          <w:rFonts w:hint="eastAsia"/>
          <w:color w:val="auto"/>
          <w:szCs w:val="21"/>
          <w:highlight w:val="none"/>
        </w:rPr>
        <w:t>可</w:t>
      </w:r>
      <w:r>
        <w:rPr>
          <w:color w:val="auto"/>
          <w:szCs w:val="21"/>
          <w:highlight w:val="none"/>
        </w:rPr>
        <w:t>采用不同的高度；</w:t>
      </w:r>
    </w:p>
    <w:p>
      <w:pPr>
        <w:ind w:firstLine="421" w:firstLineChars="200"/>
        <w:rPr>
          <w:rFonts w:hint="eastAsia" w:eastAsia="宋体"/>
          <w:color w:val="auto"/>
          <w:szCs w:val="21"/>
          <w:highlight w:val="none"/>
          <w:lang w:eastAsia="zh-CN"/>
        </w:rPr>
      </w:pPr>
      <w:r>
        <w:rPr>
          <w:b/>
          <w:color w:val="auto"/>
          <w:szCs w:val="21"/>
          <w:highlight w:val="none"/>
        </w:rPr>
        <w:t xml:space="preserve">2  </w:t>
      </w:r>
      <w:r>
        <w:rPr>
          <w:rFonts w:hint="eastAsia"/>
          <w:color w:val="auto"/>
          <w:szCs w:val="21"/>
          <w:highlight w:val="none"/>
        </w:rPr>
        <w:t>抗震等级为四级或不超过2层时，其中柱截面边长不宜小于300mm；抗震等级为一、二、三级且超过2层时，其截面边长不宜小于300mm，且中柱组合后截面面积应大于400mm×400mm</w:t>
      </w:r>
      <w:r>
        <w:rPr>
          <w:rFonts w:hint="eastAsia"/>
          <w:color w:val="auto"/>
          <w:szCs w:val="21"/>
          <w:highlight w:val="none"/>
          <w:lang w:val="en-US" w:eastAsia="zh-CN"/>
        </w:rPr>
        <w:t>；</w:t>
      </w:r>
    </w:p>
    <w:p>
      <w:pPr>
        <w:ind w:firstLine="421" w:firstLineChars="200"/>
        <w:rPr>
          <w:color w:val="auto"/>
          <w:szCs w:val="21"/>
          <w:highlight w:val="none"/>
        </w:rPr>
      </w:pPr>
      <w:r>
        <w:rPr>
          <w:b/>
          <w:color w:val="auto"/>
          <w:szCs w:val="21"/>
          <w:highlight w:val="none"/>
        </w:rPr>
        <w:t xml:space="preserve">3  </w:t>
      </w:r>
      <w:r>
        <w:rPr>
          <w:color w:val="auto"/>
          <w:szCs w:val="21"/>
          <w:highlight w:val="none"/>
        </w:rPr>
        <w:t>抗震等级为四级或不超过2层时，其</w:t>
      </w:r>
      <w:r>
        <w:rPr>
          <w:rFonts w:hint="eastAsia"/>
          <w:color w:val="auto"/>
          <w:szCs w:val="21"/>
          <w:highlight w:val="none"/>
        </w:rPr>
        <w:t>边柱和</w:t>
      </w:r>
      <w:r>
        <w:rPr>
          <w:color w:val="auto"/>
          <w:szCs w:val="21"/>
          <w:highlight w:val="none"/>
        </w:rPr>
        <w:t>角柱截面</w:t>
      </w:r>
      <w:r>
        <w:rPr>
          <w:rFonts w:hint="eastAsia"/>
          <w:color w:val="auto"/>
          <w:szCs w:val="21"/>
          <w:highlight w:val="none"/>
        </w:rPr>
        <w:t>边长</w:t>
      </w:r>
      <w:r>
        <w:rPr>
          <w:color w:val="auto"/>
          <w:szCs w:val="21"/>
          <w:highlight w:val="none"/>
        </w:rPr>
        <w:t>不宜小于300mm；抗震等级为</w:t>
      </w:r>
      <w:r>
        <w:rPr>
          <w:rFonts w:hint="eastAsia"/>
          <w:color w:val="auto"/>
          <w:szCs w:val="21"/>
          <w:highlight w:val="none"/>
        </w:rPr>
        <w:t>一、</w:t>
      </w:r>
      <w:r>
        <w:rPr>
          <w:color w:val="auto"/>
          <w:szCs w:val="21"/>
          <w:highlight w:val="none"/>
        </w:rPr>
        <w:t>二、三级且超过2层时，其</w:t>
      </w:r>
      <w:r>
        <w:rPr>
          <w:rFonts w:hint="eastAsia"/>
          <w:color w:val="auto"/>
          <w:szCs w:val="21"/>
          <w:highlight w:val="none"/>
        </w:rPr>
        <w:t>边柱和</w:t>
      </w:r>
      <w:r>
        <w:rPr>
          <w:color w:val="auto"/>
          <w:szCs w:val="21"/>
          <w:highlight w:val="none"/>
        </w:rPr>
        <w:t>角柱截面宽度不宜小于400mm。</w:t>
      </w:r>
    </w:p>
    <w:p>
      <w:pPr>
        <w:pStyle w:val="47"/>
        <w:numPr>
          <w:ilvl w:val="0"/>
          <w:numId w:val="13"/>
        </w:numPr>
        <w:tabs>
          <w:tab w:val="left" w:pos="0"/>
        </w:tabs>
        <w:ind w:firstLineChars="0"/>
        <w:rPr>
          <w:color w:val="auto"/>
          <w:highlight w:val="none"/>
        </w:rPr>
      </w:pPr>
      <w:r>
        <w:rPr>
          <w:color w:val="auto"/>
          <w:highlight w:val="none"/>
        </w:rPr>
        <w:t>框架式模块</w:t>
      </w:r>
      <w:r>
        <w:rPr>
          <w:rFonts w:hint="eastAsia"/>
          <w:color w:val="auto"/>
          <w:highlight w:val="none"/>
        </w:rPr>
        <w:t>单元</w:t>
      </w:r>
      <w:r>
        <w:rPr>
          <w:color w:val="auto"/>
          <w:highlight w:val="none"/>
        </w:rPr>
        <w:t>中的非承重墙体宜采用轻质材料。当采用轻骨料混凝土时，应符合下列规定：</w:t>
      </w:r>
    </w:p>
    <w:p>
      <w:pPr>
        <w:ind w:firstLine="421" w:firstLineChars="200"/>
        <w:rPr>
          <w:color w:val="auto"/>
          <w:szCs w:val="21"/>
          <w:highlight w:val="none"/>
        </w:rPr>
      </w:pPr>
      <w:r>
        <w:rPr>
          <w:b/>
          <w:color w:val="auto"/>
          <w:szCs w:val="21"/>
          <w:highlight w:val="none"/>
        </w:rPr>
        <w:t xml:space="preserve">1  </w:t>
      </w:r>
      <w:r>
        <w:rPr>
          <w:bCs/>
          <w:color w:val="auto"/>
          <w:szCs w:val="21"/>
          <w:highlight w:val="none"/>
        </w:rPr>
        <w:t>轻骨料混凝土强度等级不宜小于LC20，内隔墙厚度不宜小于50mm，</w:t>
      </w:r>
      <w:r>
        <w:rPr>
          <w:color w:val="auto"/>
          <w:szCs w:val="21"/>
          <w:highlight w:val="none"/>
        </w:rPr>
        <w:t>外围护墙厚度不宜小于150mm；</w:t>
      </w:r>
    </w:p>
    <w:p>
      <w:pPr>
        <w:ind w:firstLine="421" w:firstLineChars="200"/>
        <w:rPr>
          <w:color w:val="auto"/>
          <w:szCs w:val="21"/>
          <w:highlight w:val="none"/>
        </w:rPr>
      </w:pPr>
      <w:r>
        <w:rPr>
          <w:b/>
          <w:color w:val="auto"/>
          <w:szCs w:val="21"/>
          <w:highlight w:val="none"/>
        </w:rPr>
        <w:t xml:space="preserve">2  </w:t>
      </w:r>
      <w:r>
        <w:rPr>
          <w:color w:val="auto"/>
          <w:szCs w:val="21"/>
          <w:highlight w:val="none"/>
        </w:rPr>
        <w:t>墙体中分布钢筋直径不宜小于6mm，间距不宜大于2倍墙厚</w:t>
      </w:r>
      <w:r>
        <w:rPr>
          <w:rFonts w:hint="eastAsia"/>
          <w:color w:val="auto"/>
          <w:szCs w:val="21"/>
          <w:highlight w:val="none"/>
        </w:rPr>
        <w:t>；</w:t>
      </w:r>
      <w:r>
        <w:rPr>
          <w:color w:val="auto"/>
          <w:szCs w:val="21"/>
          <w:highlight w:val="none"/>
        </w:rPr>
        <w:t>最小配筋率应满足裂缝控制验算要求，且不应小于</w:t>
      </w:r>
      <w:r>
        <w:rPr>
          <w:color w:val="auto"/>
          <w:highlight w:val="none"/>
        </w:rPr>
        <w:t>0.1%</w:t>
      </w:r>
      <w:r>
        <w:rPr>
          <w:rFonts w:hint="eastAsia"/>
          <w:color w:val="auto"/>
          <w:szCs w:val="21"/>
          <w:highlight w:val="none"/>
        </w:rPr>
        <w:t>。</w:t>
      </w:r>
    </w:p>
    <w:p>
      <w:pPr>
        <w:pStyle w:val="5"/>
        <w:rPr>
          <w:color w:val="auto"/>
          <w:highlight w:val="none"/>
        </w:rPr>
      </w:pPr>
      <w:bookmarkStart w:id="536" w:name="_Toc31087"/>
      <w:bookmarkStart w:id="537" w:name="_Toc12822"/>
      <w:r>
        <w:rPr>
          <w:b/>
          <w:bCs w:val="0"/>
          <w:color w:val="auto"/>
          <w:highlight w:val="none"/>
        </w:rPr>
        <w:t>Ⅱ</w:t>
      </w:r>
      <w:r>
        <w:rPr>
          <w:color w:val="auto"/>
          <w:highlight w:val="none"/>
        </w:rPr>
        <w:t xml:space="preserve">  </w:t>
      </w:r>
      <w:r>
        <w:rPr>
          <w:rFonts w:hint="eastAsia"/>
          <w:color w:val="auto"/>
          <w:highlight w:val="none"/>
        </w:rPr>
        <w:t>其他模块单元</w:t>
      </w:r>
      <w:bookmarkEnd w:id="536"/>
      <w:bookmarkEnd w:id="537"/>
    </w:p>
    <w:p>
      <w:pPr>
        <w:pStyle w:val="47"/>
        <w:numPr>
          <w:ilvl w:val="0"/>
          <w:numId w:val="13"/>
        </w:numPr>
        <w:tabs>
          <w:tab w:val="left" w:pos="0"/>
        </w:tabs>
        <w:ind w:firstLineChars="0"/>
        <w:rPr>
          <w:color w:val="auto"/>
          <w:highlight w:val="none"/>
        </w:rPr>
      </w:pPr>
      <w:bookmarkStart w:id="538" w:name="_Toc27442"/>
      <w:bookmarkStart w:id="539" w:name="_Toc16680"/>
      <w:r>
        <w:rPr>
          <w:color w:val="auto"/>
          <w:highlight w:val="none"/>
        </w:rPr>
        <w:t>模块</w:t>
      </w:r>
      <w:r>
        <w:rPr>
          <w:rFonts w:hint="eastAsia"/>
          <w:color w:val="auto"/>
          <w:highlight w:val="none"/>
        </w:rPr>
        <w:t>单元</w:t>
      </w:r>
      <w:r>
        <w:rPr>
          <w:color w:val="auto"/>
          <w:highlight w:val="none"/>
        </w:rPr>
        <w:t>中的墙模、柱模、梁模应符合下列规定：</w:t>
      </w:r>
      <w:bookmarkEnd w:id="538"/>
      <w:bookmarkEnd w:id="539"/>
    </w:p>
    <w:p>
      <w:pPr>
        <w:ind w:firstLine="421" w:firstLineChars="200"/>
        <w:rPr>
          <w:color w:val="auto"/>
          <w:highlight w:val="none"/>
        </w:rPr>
      </w:pPr>
      <w:r>
        <w:rPr>
          <w:b/>
          <w:bCs/>
          <w:color w:val="auto"/>
          <w:highlight w:val="none"/>
        </w:rPr>
        <w:t xml:space="preserve">1  </w:t>
      </w:r>
      <w:r>
        <w:rPr>
          <w:color w:val="auto"/>
          <w:highlight w:val="none"/>
        </w:rPr>
        <w:t>厚度</w:t>
      </w:r>
      <w:r>
        <w:rPr>
          <w:rFonts w:hint="eastAsia"/>
          <w:color w:val="auto"/>
          <w:highlight w:val="none"/>
        </w:rPr>
        <w:t>不应小于3</w:t>
      </w:r>
      <w:r>
        <w:rPr>
          <w:color w:val="auto"/>
          <w:highlight w:val="none"/>
        </w:rPr>
        <w:t>0</w:t>
      </w:r>
      <w:r>
        <w:rPr>
          <w:rFonts w:hint="eastAsia"/>
          <w:color w:val="auto"/>
          <w:highlight w:val="none"/>
        </w:rPr>
        <w:t>mm</w:t>
      </w:r>
      <w:r>
        <w:rPr>
          <w:color w:val="auto"/>
          <w:highlight w:val="none"/>
        </w:rPr>
        <w:t>；</w:t>
      </w:r>
    </w:p>
    <w:p>
      <w:pPr>
        <w:ind w:firstLine="421" w:firstLineChars="200"/>
        <w:rPr>
          <w:color w:val="auto"/>
          <w:szCs w:val="21"/>
          <w:highlight w:val="none"/>
        </w:rPr>
      </w:pPr>
      <w:r>
        <w:rPr>
          <w:b/>
          <w:color w:val="auto"/>
          <w:highlight w:val="none"/>
        </w:rPr>
        <w:t xml:space="preserve">2  </w:t>
      </w:r>
      <w:r>
        <w:rPr>
          <w:color w:val="auto"/>
          <w:szCs w:val="21"/>
          <w:highlight w:val="none"/>
        </w:rPr>
        <w:t>分布钢筋直径不宜小于6mm，间距不宜大于200mm；</w:t>
      </w:r>
    </w:p>
    <w:p>
      <w:pPr>
        <w:ind w:firstLine="421" w:firstLineChars="200"/>
        <w:rPr>
          <w:color w:val="auto"/>
          <w:highlight w:val="none"/>
        </w:rPr>
      </w:pPr>
      <w:r>
        <w:rPr>
          <w:b/>
          <w:color w:val="auto"/>
          <w:szCs w:val="21"/>
          <w:highlight w:val="none"/>
        </w:rPr>
        <w:t xml:space="preserve">3  </w:t>
      </w:r>
      <w:r>
        <w:rPr>
          <w:color w:val="auto"/>
          <w:highlight w:val="none"/>
        </w:rPr>
        <w:t>混凝</w:t>
      </w:r>
      <w:r>
        <w:rPr>
          <w:rFonts w:hint="eastAsia"/>
          <w:color w:val="auto"/>
          <w:highlight w:val="none"/>
        </w:rPr>
        <w:t>土</w:t>
      </w:r>
      <w:r>
        <w:rPr>
          <w:color w:val="auto"/>
          <w:highlight w:val="none"/>
        </w:rPr>
        <w:t>强度等级不宜低于C50</w:t>
      </w:r>
      <w:r>
        <w:rPr>
          <w:rFonts w:hint="eastAsia"/>
          <w:color w:val="auto"/>
          <w:highlight w:val="none"/>
        </w:rPr>
        <w:t>；</w:t>
      </w:r>
    </w:p>
    <w:p>
      <w:pPr>
        <w:ind w:firstLine="421" w:firstLineChars="200"/>
        <w:rPr>
          <w:color w:val="auto"/>
          <w:highlight w:val="none"/>
        </w:rPr>
      </w:pPr>
      <w:r>
        <w:rPr>
          <w:rFonts w:hint="eastAsia"/>
          <w:b/>
          <w:bCs/>
          <w:color w:val="auto"/>
          <w:highlight w:val="none"/>
        </w:rPr>
        <w:t>4</w:t>
      </w:r>
      <w:r>
        <w:rPr>
          <w:rFonts w:hint="eastAsia"/>
          <w:color w:val="auto"/>
          <w:highlight w:val="none"/>
        </w:rPr>
        <w:t xml:space="preserve">  当采用高性能混凝土时，其</w:t>
      </w:r>
      <w:r>
        <w:rPr>
          <w:rFonts w:hint="eastAsia" w:ascii="宋体" w:hAnsi="宋体"/>
          <w:color w:val="auto"/>
          <w:highlight w:val="none"/>
        </w:rPr>
        <w:t>主要胶凝剂宜选用硅酸盐水泥，</w:t>
      </w:r>
      <w:r>
        <w:rPr>
          <w:color w:val="auto"/>
          <w:highlight w:val="none"/>
        </w:rPr>
        <w:t>砂</w:t>
      </w:r>
      <w:r>
        <w:rPr>
          <w:rFonts w:hint="eastAsia"/>
          <w:color w:val="auto"/>
          <w:highlight w:val="none"/>
        </w:rPr>
        <w:t>的</w:t>
      </w:r>
      <w:r>
        <w:rPr>
          <w:color w:val="auto"/>
          <w:highlight w:val="none"/>
        </w:rPr>
        <w:t>含泥量</w:t>
      </w:r>
      <w:r>
        <w:rPr>
          <w:rFonts w:hint="eastAsia"/>
          <w:color w:val="auto"/>
          <w:highlight w:val="none"/>
        </w:rPr>
        <w:t>和泥块含量</w:t>
      </w:r>
      <w:r>
        <w:rPr>
          <w:color w:val="auto"/>
          <w:highlight w:val="none"/>
        </w:rPr>
        <w:t>应</w:t>
      </w:r>
      <w:r>
        <w:rPr>
          <w:rFonts w:hint="eastAsia"/>
          <w:color w:val="auto"/>
          <w:highlight w:val="none"/>
        </w:rPr>
        <w:t>分别不</w:t>
      </w:r>
      <w:r>
        <w:rPr>
          <w:color w:val="auto"/>
          <w:highlight w:val="none"/>
        </w:rPr>
        <w:t>大于</w:t>
      </w:r>
      <w:r>
        <w:rPr>
          <w:rFonts w:hint="eastAsia"/>
          <w:color w:val="auto"/>
          <w:highlight w:val="none"/>
        </w:rPr>
        <w:t>2%和</w:t>
      </w:r>
      <w:r>
        <w:rPr>
          <w:color w:val="auto"/>
          <w:highlight w:val="none"/>
        </w:rPr>
        <w:t>0</w:t>
      </w:r>
      <w:r>
        <w:rPr>
          <w:rFonts w:ascii="宋体" w:hAnsi="宋体"/>
          <w:color w:val="auto"/>
          <w:highlight w:val="none"/>
        </w:rPr>
        <w:t>.</w:t>
      </w:r>
      <w:r>
        <w:rPr>
          <w:color w:val="auto"/>
          <w:highlight w:val="none"/>
        </w:rPr>
        <w:t>5%</w:t>
      </w:r>
      <w:r>
        <w:rPr>
          <w:rFonts w:hint="eastAsia"/>
          <w:color w:val="auto"/>
          <w:highlight w:val="none"/>
        </w:rPr>
        <w:t>；</w:t>
      </w:r>
    </w:p>
    <w:p>
      <w:pPr>
        <w:ind w:firstLine="421" w:firstLineChars="200"/>
        <w:rPr>
          <w:color w:val="auto"/>
          <w:highlight w:val="none"/>
        </w:rPr>
      </w:pPr>
      <w:r>
        <w:rPr>
          <w:rFonts w:hint="eastAsia"/>
          <w:b/>
          <w:bCs/>
          <w:color w:val="auto"/>
          <w:highlight w:val="none"/>
        </w:rPr>
        <w:t>5</w:t>
      </w:r>
      <w:r>
        <w:rPr>
          <w:rFonts w:hint="eastAsia"/>
          <w:color w:val="auto"/>
          <w:highlight w:val="none"/>
        </w:rPr>
        <w:t xml:space="preserve">  应与主体结构可靠拉结。</w:t>
      </w:r>
    </w:p>
    <w:p>
      <w:pPr>
        <w:pStyle w:val="47"/>
        <w:numPr>
          <w:ilvl w:val="0"/>
          <w:numId w:val="13"/>
        </w:numPr>
        <w:tabs>
          <w:tab w:val="left" w:pos="0"/>
        </w:tabs>
        <w:ind w:firstLineChars="0"/>
        <w:rPr>
          <w:color w:val="auto"/>
          <w:highlight w:val="none"/>
        </w:rPr>
      </w:pPr>
      <w:r>
        <w:rPr>
          <w:rFonts w:hint="eastAsia"/>
          <w:color w:val="auto"/>
          <w:highlight w:val="none"/>
        </w:rPr>
        <w:t>全预制剪力墙式模块单元、叠合剪力墙式模块单元与</w:t>
      </w:r>
      <w:r>
        <w:rPr>
          <w:color w:val="auto"/>
          <w:highlight w:val="none"/>
        </w:rPr>
        <w:t>箱模式</w:t>
      </w:r>
      <w:r>
        <w:rPr>
          <w:rFonts w:hint="eastAsia"/>
          <w:color w:val="auto"/>
          <w:highlight w:val="none"/>
        </w:rPr>
        <w:t>模块单元</w:t>
      </w:r>
      <w:r>
        <w:rPr>
          <w:color w:val="auto"/>
          <w:highlight w:val="none"/>
        </w:rPr>
        <w:t>中非墙模部分墙体应</w:t>
      </w:r>
      <w:r>
        <w:rPr>
          <w:rFonts w:hint="eastAsia"/>
          <w:color w:val="auto"/>
          <w:highlight w:val="none"/>
        </w:rPr>
        <w:t>符合</w:t>
      </w:r>
      <w:r>
        <w:rPr>
          <w:color w:val="auto"/>
          <w:highlight w:val="none"/>
        </w:rPr>
        <w:t>本</w:t>
      </w:r>
      <w:r>
        <w:rPr>
          <w:rFonts w:hint="eastAsia"/>
          <w:color w:val="auto"/>
          <w:highlight w:val="none"/>
        </w:rPr>
        <w:t>导则5.4.7条</w:t>
      </w:r>
      <w:r>
        <w:rPr>
          <w:color w:val="auto"/>
          <w:highlight w:val="none"/>
        </w:rPr>
        <w:t>的有关规定。</w:t>
      </w:r>
    </w:p>
    <w:p>
      <w:pPr>
        <w:pStyle w:val="47"/>
        <w:numPr>
          <w:ilvl w:val="0"/>
          <w:numId w:val="13"/>
        </w:numPr>
        <w:tabs>
          <w:tab w:val="left" w:pos="0"/>
        </w:tabs>
        <w:ind w:firstLineChars="0"/>
        <w:rPr>
          <w:color w:val="auto"/>
          <w:highlight w:val="none"/>
        </w:rPr>
      </w:pPr>
      <w:bookmarkStart w:id="540" w:name="_Toc4009"/>
      <w:bookmarkStart w:id="541" w:name="_Toc16990"/>
      <w:r>
        <w:rPr>
          <w:rFonts w:hint="eastAsia"/>
          <w:color w:val="auto"/>
          <w:highlight w:val="none"/>
        </w:rPr>
        <w:t>全预制剪力墙式模块单元、叠合剪力墙式模块单元与</w:t>
      </w:r>
      <w:r>
        <w:rPr>
          <w:color w:val="auto"/>
          <w:highlight w:val="none"/>
        </w:rPr>
        <w:t>箱模式</w:t>
      </w:r>
      <w:r>
        <w:rPr>
          <w:rFonts w:hint="eastAsia"/>
          <w:color w:val="auto"/>
          <w:highlight w:val="none"/>
        </w:rPr>
        <w:t>模块单元顶板应符合下列规定：</w:t>
      </w:r>
      <w:bookmarkEnd w:id="540"/>
      <w:bookmarkEnd w:id="541"/>
    </w:p>
    <w:p>
      <w:pPr>
        <w:ind w:firstLine="421" w:firstLineChars="200"/>
        <w:rPr>
          <w:rFonts w:eastAsia="黑体"/>
          <w:color w:val="auto"/>
          <w:szCs w:val="21"/>
          <w:highlight w:val="none"/>
        </w:rPr>
      </w:pPr>
      <w:r>
        <w:rPr>
          <w:rFonts w:eastAsia="黑体"/>
          <w:b/>
          <w:color w:val="auto"/>
          <w:szCs w:val="21"/>
          <w:highlight w:val="none"/>
        </w:rPr>
        <w:t xml:space="preserve">1  </w:t>
      </w:r>
      <w:r>
        <w:rPr>
          <w:color w:val="auto"/>
          <w:szCs w:val="21"/>
          <w:highlight w:val="none"/>
        </w:rPr>
        <w:t>模块</w:t>
      </w:r>
      <w:r>
        <w:rPr>
          <w:rFonts w:hint="eastAsia"/>
          <w:color w:val="auto"/>
          <w:highlight w:val="none"/>
        </w:rPr>
        <w:t>单元</w:t>
      </w:r>
      <w:r>
        <w:rPr>
          <w:color w:val="auto"/>
          <w:szCs w:val="21"/>
          <w:highlight w:val="none"/>
        </w:rPr>
        <w:t>顶板应作为模块</w:t>
      </w:r>
      <w:r>
        <w:rPr>
          <w:rFonts w:hint="eastAsia"/>
          <w:color w:val="auto"/>
          <w:szCs w:val="21"/>
          <w:highlight w:val="none"/>
        </w:rPr>
        <w:t>预制</w:t>
      </w:r>
      <w:r>
        <w:rPr>
          <w:color w:val="auto"/>
          <w:szCs w:val="21"/>
          <w:highlight w:val="none"/>
        </w:rPr>
        <w:t>叠合楼板的预制底板部分进行结构设计；</w:t>
      </w:r>
    </w:p>
    <w:p>
      <w:pPr>
        <w:ind w:firstLine="421" w:firstLineChars="200"/>
        <w:rPr>
          <w:color w:val="auto"/>
          <w:szCs w:val="21"/>
          <w:highlight w:val="none"/>
        </w:rPr>
      </w:pPr>
      <w:r>
        <w:rPr>
          <w:rFonts w:eastAsia="黑体"/>
          <w:b/>
          <w:color w:val="auto"/>
          <w:szCs w:val="21"/>
          <w:highlight w:val="none"/>
        </w:rPr>
        <w:t xml:space="preserve">2  </w:t>
      </w:r>
      <w:r>
        <w:rPr>
          <w:color w:val="auto"/>
          <w:szCs w:val="21"/>
          <w:highlight w:val="none"/>
        </w:rPr>
        <w:t>顶板的厚度应满足安装用临时支撑计算的要求，且不宜小于60mm，最小配筋率应符合现行国家标准《混凝土结构设计</w:t>
      </w:r>
      <w:r>
        <w:rPr>
          <w:rFonts w:hint="eastAsia"/>
          <w:color w:val="auto"/>
          <w:szCs w:val="21"/>
          <w:highlight w:val="none"/>
        </w:rPr>
        <w:t>标准</w:t>
      </w:r>
      <w:r>
        <w:rPr>
          <w:color w:val="auto"/>
          <w:szCs w:val="21"/>
          <w:highlight w:val="none"/>
        </w:rPr>
        <w:t>》GB</w:t>
      </w:r>
      <w:r>
        <w:rPr>
          <w:rFonts w:hint="eastAsia"/>
          <w:color w:val="auto"/>
          <w:szCs w:val="21"/>
          <w:highlight w:val="none"/>
        </w:rPr>
        <w:t xml:space="preserve">/T </w:t>
      </w:r>
      <w:r>
        <w:rPr>
          <w:color w:val="auto"/>
          <w:szCs w:val="21"/>
          <w:highlight w:val="none"/>
        </w:rPr>
        <w:t>50010的有关规定；</w:t>
      </w:r>
    </w:p>
    <w:p>
      <w:pPr>
        <w:ind w:firstLine="421" w:firstLineChars="200"/>
        <w:rPr>
          <w:color w:val="auto"/>
          <w:szCs w:val="21"/>
          <w:highlight w:val="none"/>
        </w:rPr>
      </w:pPr>
      <w:r>
        <w:rPr>
          <w:rFonts w:eastAsia="黑体"/>
          <w:b/>
          <w:color w:val="auto"/>
          <w:szCs w:val="21"/>
          <w:highlight w:val="none"/>
        </w:rPr>
        <w:t xml:space="preserve">3  </w:t>
      </w:r>
      <w:r>
        <w:rPr>
          <w:color w:val="auto"/>
          <w:szCs w:val="21"/>
          <w:highlight w:val="none"/>
        </w:rPr>
        <w:t>顶板钢筋</w:t>
      </w:r>
      <w:r>
        <w:rPr>
          <w:color w:val="auto"/>
          <w:highlight w:val="none"/>
        </w:rPr>
        <w:t>在支座处的锚固长度，应符合现行行业标准《装配式混凝土结构技术规程》JGJ 1的有关规定。</w:t>
      </w:r>
    </w:p>
    <w:p>
      <w:pPr>
        <w:pStyle w:val="47"/>
        <w:numPr>
          <w:ilvl w:val="0"/>
          <w:numId w:val="13"/>
        </w:numPr>
        <w:tabs>
          <w:tab w:val="left" w:pos="0"/>
        </w:tabs>
        <w:ind w:firstLineChars="0"/>
        <w:rPr>
          <w:color w:val="auto"/>
          <w:highlight w:val="none"/>
        </w:rPr>
      </w:pPr>
      <w:bookmarkStart w:id="542" w:name="_Toc22937"/>
      <w:bookmarkStart w:id="543" w:name="_Toc2402"/>
      <w:r>
        <w:rPr>
          <w:rFonts w:hint="eastAsia"/>
          <w:color w:val="auto"/>
          <w:highlight w:val="none"/>
        </w:rPr>
        <w:t>全预制剪力墙式模块单元、叠合剪力墙式模块单元与</w:t>
      </w:r>
      <w:r>
        <w:rPr>
          <w:color w:val="auto"/>
          <w:highlight w:val="none"/>
        </w:rPr>
        <w:t>箱模式</w:t>
      </w:r>
      <w:r>
        <w:rPr>
          <w:rFonts w:hint="eastAsia"/>
          <w:color w:val="auto"/>
          <w:highlight w:val="none"/>
        </w:rPr>
        <w:t>模块单元底板应符合下列规定：</w:t>
      </w:r>
      <w:bookmarkEnd w:id="542"/>
      <w:bookmarkEnd w:id="543"/>
    </w:p>
    <w:p>
      <w:pPr>
        <w:ind w:firstLine="421" w:firstLineChars="200"/>
        <w:rPr>
          <w:color w:val="auto"/>
          <w:szCs w:val="21"/>
          <w:highlight w:val="none"/>
        </w:rPr>
      </w:pPr>
      <w:r>
        <w:rPr>
          <w:b/>
          <w:color w:val="auto"/>
          <w:szCs w:val="21"/>
          <w:highlight w:val="none"/>
        </w:rPr>
        <w:t xml:space="preserve">1  </w:t>
      </w:r>
      <w:r>
        <w:rPr>
          <w:color w:val="auto"/>
          <w:szCs w:val="21"/>
          <w:highlight w:val="none"/>
        </w:rPr>
        <w:t>模块</w:t>
      </w:r>
      <w:r>
        <w:rPr>
          <w:rFonts w:hint="eastAsia"/>
          <w:color w:val="auto"/>
          <w:highlight w:val="none"/>
        </w:rPr>
        <w:t>单元</w:t>
      </w:r>
      <w:r>
        <w:rPr>
          <w:color w:val="auto"/>
          <w:szCs w:val="21"/>
          <w:highlight w:val="none"/>
        </w:rPr>
        <w:t>底板不</w:t>
      </w:r>
      <w:r>
        <w:rPr>
          <w:rFonts w:hint="eastAsia"/>
          <w:color w:val="auto"/>
          <w:szCs w:val="21"/>
          <w:highlight w:val="none"/>
        </w:rPr>
        <w:t>应</w:t>
      </w:r>
      <w:r>
        <w:rPr>
          <w:color w:val="auto"/>
          <w:szCs w:val="21"/>
          <w:highlight w:val="none"/>
        </w:rPr>
        <w:t>作为模块化结构的结构板</w:t>
      </w:r>
      <w:r>
        <w:rPr>
          <w:rFonts w:hint="eastAsia"/>
          <w:color w:val="auto"/>
          <w:szCs w:val="21"/>
          <w:highlight w:val="none"/>
        </w:rPr>
        <w:t>；</w:t>
      </w:r>
    </w:p>
    <w:p>
      <w:pPr>
        <w:ind w:firstLine="421" w:firstLineChars="200"/>
        <w:rPr>
          <w:rFonts w:hint="eastAsia" w:eastAsia="宋体"/>
          <w:b/>
          <w:color w:val="auto"/>
          <w:highlight w:val="none"/>
          <w:lang w:eastAsia="zh-CN"/>
        </w:rPr>
      </w:pPr>
      <w:r>
        <w:rPr>
          <w:b/>
          <w:bCs/>
          <w:color w:val="auto"/>
          <w:szCs w:val="21"/>
          <w:highlight w:val="none"/>
        </w:rPr>
        <w:t xml:space="preserve">2  </w:t>
      </w:r>
      <w:r>
        <w:rPr>
          <w:rFonts w:hint="eastAsia"/>
          <w:color w:val="auto"/>
          <w:highlight w:val="none"/>
        </w:rPr>
        <w:t>当采用钢筋混凝土底板时，</w:t>
      </w:r>
      <w:r>
        <w:rPr>
          <w:rFonts w:hint="eastAsia"/>
          <w:color w:val="auto"/>
          <w:szCs w:val="21"/>
          <w:highlight w:val="none"/>
        </w:rPr>
        <w:t>其</w:t>
      </w:r>
      <w:r>
        <w:rPr>
          <w:color w:val="auto"/>
          <w:szCs w:val="21"/>
          <w:highlight w:val="none"/>
        </w:rPr>
        <w:t>厚度不宜小于60mm</w:t>
      </w:r>
      <w:r>
        <w:rPr>
          <w:rFonts w:hint="eastAsia"/>
          <w:color w:val="auto"/>
          <w:szCs w:val="21"/>
          <w:highlight w:val="none"/>
        </w:rPr>
        <w:t>，配筋率不宜小于0.2%</w:t>
      </w:r>
      <w:r>
        <w:rPr>
          <w:rFonts w:hint="eastAsia"/>
          <w:color w:val="auto"/>
          <w:szCs w:val="21"/>
          <w:highlight w:val="none"/>
          <w:lang w:val="en-US" w:eastAsia="zh-CN"/>
        </w:rPr>
        <w:t>；</w:t>
      </w:r>
    </w:p>
    <w:p>
      <w:pPr>
        <w:ind w:firstLine="421" w:firstLineChars="200"/>
        <w:rPr>
          <w:color w:val="auto"/>
          <w:szCs w:val="21"/>
          <w:highlight w:val="none"/>
        </w:rPr>
      </w:pPr>
      <w:r>
        <w:rPr>
          <w:rFonts w:eastAsia="黑体"/>
          <w:b/>
          <w:color w:val="auto"/>
          <w:szCs w:val="21"/>
          <w:highlight w:val="none"/>
        </w:rPr>
        <w:t xml:space="preserve">3  </w:t>
      </w:r>
      <w:r>
        <w:rPr>
          <w:rFonts w:hint="eastAsia"/>
          <w:color w:val="auto"/>
          <w:szCs w:val="21"/>
          <w:highlight w:val="none"/>
        </w:rPr>
        <w:t>模块</w:t>
      </w:r>
      <w:r>
        <w:rPr>
          <w:rFonts w:hint="eastAsia"/>
          <w:color w:val="auto"/>
          <w:highlight w:val="none"/>
        </w:rPr>
        <w:t>单元</w:t>
      </w:r>
      <w:r>
        <w:rPr>
          <w:color w:val="auto"/>
          <w:szCs w:val="21"/>
          <w:highlight w:val="none"/>
        </w:rPr>
        <w:t>底板配筋应符合现行国家标准</w:t>
      </w:r>
      <w:r>
        <w:rPr>
          <w:rFonts w:hint="eastAsia"/>
          <w:color w:val="auto"/>
          <w:szCs w:val="21"/>
          <w:highlight w:val="none"/>
        </w:rPr>
        <w:t>《混凝土结构设计标准》GB/T 50010</w:t>
      </w:r>
      <w:r>
        <w:rPr>
          <w:color w:val="auto"/>
          <w:szCs w:val="21"/>
          <w:highlight w:val="none"/>
        </w:rPr>
        <w:t>的有关规定。</w:t>
      </w:r>
    </w:p>
    <w:p>
      <w:pPr>
        <w:pStyle w:val="4"/>
        <w:rPr>
          <w:color w:val="auto"/>
          <w:highlight w:val="none"/>
        </w:rPr>
      </w:pPr>
      <w:bookmarkStart w:id="544" w:name="_Toc30544"/>
      <w:bookmarkStart w:id="545" w:name="_Toc10731"/>
      <w:bookmarkStart w:id="546" w:name="_Toc24817"/>
      <w:bookmarkStart w:id="547" w:name="_Toc27212"/>
      <w:bookmarkStart w:id="548" w:name="_Toc13580"/>
      <w:bookmarkStart w:id="549" w:name="_Toc1631"/>
      <w:bookmarkStart w:id="550" w:name="_Toc10526"/>
      <w:bookmarkStart w:id="551" w:name="_Toc941"/>
      <w:bookmarkStart w:id="552" w:name="_Toc30193"/>
      <w:bookmarkStart w:id="553" w:name="_Toc19979"/>
      <w:bookmarkStart w:id="554" w:name="_Toc20310"/>
      <w:bookmarkStart w:id="555" w:name="_Toc29595"/>
      <w:bookmarkStart w:id="556" w:name="_Toc24822"/>
      <w:bookmarkStart w:id="557" w:name="_Toc9674"/>
      <w:bookmarkStart w:id="558" w:name="_Toc29575"/>
      <w:bookmarkStart w:id="559" w:name="_Toc31421"/>
      <w:bookmarkStart w:id="560" w:name="_Toc28807"/>
      <w:bookmarkStart w:id="561" w:name="_Toc19722"/>
      <w:bookmarkStart w:id="562" w:name="_Toc14147"/>
      <w:bookmarkStart w:id="563" w:name="_Toc17429"/>
      <w:bookmarkStart w:id="564" w:name="_Toc6769"/>
      <w:bookmarkStart w:id="565" w:name="_Toc31196"/>
      <w:bookmarkStart w:id="566" w:name="_Toc254"/>
      <w:bookmarkStart w:id="567" w:name="_Toc20890"/>
      <w:bookmarkStart w:id="568" w:name="_Toc13274"/>
      <w:bookmarkStart w:id="569" w:name="_Toc18664"/>
      <w:bookmarkStart w:id="570" w:name="_Toc8664"/>
      <w:bookmarkStart w:id="571" w:name="_Toc15786"/>
      <w:bookmarkStart w:id="572" w:name="_Toc17808"/>
      <w:bookmarkStart w:id="573" w:name="_Toc20333"/>
      <w:bookmarkStart w:id="574" w:name="_Toc6874"/>
      <w:bookmarkStart w:id="575" w:name="_Toc23084"/>
      <w:bookmarkStart w:id="576" w:name="_Toc25471"/>
      <w:r>
        <w:rPr>
          <w:b/>
          <w:bCs w:val="0"/>
          <w:color w:val="auto"/>
          <w:highlight w:val="none"/>
        </w:rPr>
        <w:t>5</w:t>
      </w:r>
      <w:r>
        <w:rPr>
          <w:rFonts w:hint="eastAsia" w:ascii="宋体" w:hAnsi="宋体" w:eastAsia="宋体"/>
          <w:color w:val="auto"/>
          <w:szCs w:val="21"/>
          <w:highlight w:val="none"/>
        </w:rPr>
        <w:t>.</w:t>
      </w:r>
      <w:r>
        <w:rPr>
          <w:rFonts w:hint="eastAsia" w:eastAsia="宋体"/>
          <w:b/>
          <w:bCs w:val="0"/>
          <w:color w:val="auto"/>
          <w:highlight w:val="none"/>
        </w:rPr>
        <w:t>5</w:t>
      </w:r>
      <w:r>
        <w:rPr>
          <w:rFonts w:hint="eastAsia"/>
          <w:color w:val="auto"/>
          <w:highlight w:val="none"/>
        </w:rPr>
        <w:t xml:space="preserve">  模块单元短暂设计状况的验算</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pPr>
        <w:pStyle w:val="47"/>
        <w:numPr>
          <w:ilvl w:val="0"/>
          <w:numId w:val="14"/>
        </w:numPr>
        <w:ind w:firstLineChars="0"/>
        <w:rPr>
          <w:color w:val="auto"/>
          <w:highlight w:val="none"/>
        </w:rPr>
      </w:pPr>
      <w:r>
        <w:rPr>
          <w:color w:val="auto"/>
          <w:highlight w:val="none"/>
        </w:rPr>
        <w:t>模块单元进行短暂设计状况作用组合时，</w:t>
      </w:r>
      <w:r>
        <w:rPr>
          <w:rFonts w:hint="eastAsia"/>
          <w:color w:val="auto"/>
          <w:highlight w:val="none"/>
        </w:rPr>
        <w:t>相关计算系数</w:t>
      </w:r>
      <w:r>
        <w:rPr>
          <w:color w:val="auto"/>
          <w:highlight w:val="none"/>
        </w:rPr>
        <w:t>应</w:t>
      </w:r>
      <w:r>
        <w:rPr>
          <w:rFonts w:hint="eastAsia"/>
          <w:color w:val="auto"/>
          <w:highlight w:val="none"/>
        </w:rPr>
        <w:t>按</w:t>
      </w:r>
      <w:r>
        <w:rPr>
          <w:color w:val="auto"/>
          <w:highlight w:val="none"/>
        </w:rPr>
        <w:t>现行国家标准《建筑结构荷载规范》GB 50009和《混凝土结构工程施工规范》GB 50666</w:t>
      </w:r>
      <w:r>
        <w:rPr>
          <w:rFonts w:hint="eastAsia"/>
          <w:color w:val="auto"/>
          <w:highlight w:val="none"/>
        </w:rPr>
        <w:t>的有关规定执行</w:t>
      </w:r>
      <w:r>
        <w:rPr>
          <w:color w:val="auto"/>
          <w:highlight w:val="none"/>
        </w:rPr>
        <w:t>。</w:t>
      </w:r>
    </w:p>
    <w:p>
      <w:pPr>
        <w:pStyle w:val="47"/>
        <w:numPr>
          <w:ilvl w:val="0"/>
          <w:numId w:val="14"/>
        </w:numPr>
        <w:ind w:firstLineChars="0"/>
        <w:rPr>
          <w:color w:val="auto"/>
          <w:highlight w:val="none"/>
        </w:rPr>
      </w:pPr>
      <w:r>
        <w:rPr>
          <w:color w:val="auto"/>
          <w:highlight w:val="none"/>
        </w:rPr>
        <w:t>模块单元在进行短暂设计状况验算时，荷载标准值的取值应符合下列规定：</w:t>
      </w:r>
    </w:p>
    <w:p>
      <w:pPr>
        <w:ind w:firstLine="421" w:firstLineChars="200"/>
        <w:rPr>
          <w:color w:val="auto"/>
          <w:highlight w:val="none"/>
        </w:rPr>
      </w:pPr>
      <w:r>
        <w:rPr>
          <w:b/>
          <w:color w:val="auto"/>
          <w:highlight w:val="none"/>
        </w:rPr>
        <w:t xml:space="preserve">1  </w:t>
      </w:r>
      <w:r>
        <w:rPr>
          <w:color w:val="auto"/>
          <w:highlight w:val="none"/>
        </w:rPr>
        <w:t>模块单元应能够承担自身的重力荷载</w:t>
      </w:r>
      <w:r>
        <w:rPr>
          <w:rFonts w:hint="eastAsia"/>
          <w:color w:val="auto"/>
          <w:highlight w:val="none"/>
        </w:rPr>
        <w:t>。构件等效静力荷载标准值应取构件自重标准值乘以动力系数</w:t>
      </w:r>
      <w:r>
        <w:rPr>
          <w:color w:val="auto"/>
          <w:highlight w:val="none"/>
        </w:rPr>
        <w:t>。构件运输、吊运时，动力系数宜取1.5；构件储存、安装过程中就位、临时固定时，动力系数可取1.2；</w:t>
      </w:r>
    </w:p>
    <w:p>
      <w:pPr>
        <w:ind w:firstLine="421" w:firstLineChars="200"/>
        <w:rPr>
          <w:color w:val="auto"/>
          <w:highlight w:val="none"/>
        </w:rPr>
      </w:pPr>
      <w:r>
        <w:rPr>
          <w:b/>
          <w:color w:val="auto"/>
          <w:highlight w:val="none"/>
        </w:rPr>
        <w:t xml:space="preserve">2  </w:t>
      </w:r>
      <w:r>
        <w:rPr>
          <w:color w:val="auto"/>
          <w:highlight w:val="none"/>
        </w:rPr>
        <w:t>作用在模块单元上的风荷载，应</w:t>
      </w:r>
      <w:r>
        <w:rPr>
          <w:rFonts w:hint="eastAsia"/>
          <w:color w:val="auto"/>
          <w:highlight w:val="none"/>
        </w:rPr>
        <w:t>符合</w:t>
      </w:r>
      <w:r>
        <w:rPr>
          <w:color w:val="auto"/>
          <w:highlight w:val="none"/>
        </w:rPr>
        <w:t>现行国家标准《建筑结构荷载规范》GB 50009的</w:t>
      </w:r>
      <w:r>
        <w:rPr>
          <w:rFonts w:hint="eastAsia"/>
          <w:color w:val="auto"/>
          <w:highlight w:val="none"/>
        </w:rPr>
        <w:t>有关</w:t>
      </w:r>
      <w:r>
        <w:rPr>
          <w:color w:val="auto"/>
          <w:highlight w:val="none"/>
        </w:rPr>
        <w:t>规定，取重现期R为10年的基本风压值；</w:t>
      </w:r>
    </w:p>
    <w:p>
      <w:pPr>
        <w:ind w:firstLine="421" w:firstLineChars="200"/>
        <w:rPr>
          <w:color w:val="auto"/>
          <w:highlight w:val="none"/>
        </w:rPr>
      </w:pPr>
      <w:r>
        <w:rPr>
          <w:b/>
          <w:color w:val="auto"/>
          <w:highlight w:val="none"/>
        </w:rPr>
        <w:t xml:space="preserve">3  </w:t>
      </w:r>
      <w:r>
        <w:rPr>
          <w:color w:val="auto"/>
          <w:highlight w:val="none"/>
        </w:rPr>
        <w:t>模块单元的顶板和底板尚应考虑在</w:t>
      </w:r>
      <w:r>
        <w:rPr>
          <w:rFonts w:hint="eastAsia"/>
          <w:color w:val="auto"/>
          <w:highlight w:val="none"/>
        </w:rPr>
        <w:t>制造</w:t>
      </w:r>
      <w:r>
        <w:rPr>
          <w:color w:val="auto"/>
          <w:highlight w:val="none"/>
        </w:rPr>
        <w:t>、施工</w:t>
      </w:r>
      <w:r>
        <w:rPr>
          <w:rFonts w:hint="eastAsia"/>
          <w:color w:val="auto"/>
          <w:highlight w:val="none"/>
        </w:rPr>
        <w:t>安装</w:t>
      </w:r>
      <w:r>
        <w:rPr>
          <w:color w:val="auto"/>
          <w:highlight w:val="none"/>
        </w:rPr>
        <w:t>过程中</w:t>
      </w:r>
      <w:r>
        <w:rPr>
          <w:rFonts w:hint="eastAsia"/>
          <w:color w:val="auto"/>
          <w:highlight w:val="none"/>
        </w:rPr>
        <w:t>产生的施工活荷载</w:t>
      </w:r>
      <w:r>
        <w:rPr>
          <w:color w:val="auto"/>
          <w:highlight w:val="none"/>
        </w:rPr>
        <w:t>，施工活荷载标准值可按实际情况计算，取值不宜小于1.5kN/m</w:t>
      </w:r>
      <w:r>
        <w:rPr>
          <w:color w:val="auto"/>
          <w:highlight w:val="none"/>
          <w:vertAlign w:val="superscript"/>
        </w:rPr>
        <w:t>2</w:t>
      </w:r>
      <w:r>
        <w:rPr>
          <w:color w:val="auto"/>
          <w:highlight w:val="none"/>
        </w:rPr>
        <w:t>。</w:t>
      </w:r>
    </w:p>
    <w:p>
      <w:pPr>
        <w:pStyle w:val="47"/>
        <w:numPr>
          <w:ilvl w:val="0"/>
          <w:numId w:val="14"/>
        </w:numPr>
        <w:ind w:firstLineChars="0"/>
        <w:rPr>
          <w:color w:val="auto"/>
          <w:highlight w:val="none"/>
        </w:rPr>
      </w:pPr>
      <w:r>
        <w:rPr>
          <w:rFonts w:hint="eastAsia"/>
          <w:color w:val="auto"/>
          <w:highlight w:val="none"/>
        </w:rPr>
        <w:t>模块单元起吊状况下，吊点的布置及吊点力计算应符合下列规定：</w:t>
      </w:r>
    </w:p>
    <w:p>
      <w:pPr>
        <w:ind w:firstLine="421" w:firstLineChars="200"/>
        <w:rPr>
          <w:color w:val="auto"/>
          <w:highlight w:val="none"/>
        </w:rPr>
      </w:pPr>
      <w:r>
        <w:rPr>
          <w:rFonts w:hint="eastAsia"/>
          <w:b/>
          <w:color w:val="auto"/>
          <w:highlight w:val="none"/>
        </w:rPr>
        <w:t>1</w:t>
      </w:r>
      <w:r>
        <w:rPr>
          <w:b/>
          <w:color w:val="auto"/>
          <w:highlight w:val="none"/>
        </w:rPr>
        <w:t xml:space="preserve">  </w:t>
      </w:r>
      <w:r>
        <w:rPr>
          <w:color w:val="auto"/>
          <w:highlight w:val="none"/>
        </w:rPr>
        <w:t>模块</w:t>
      </w:r>
      <w:r>
        <w:rPr>
          <w:rFonts w:hint="eastAsia"/>
          <w:color w:val="auto"/>
          <w:highlight w:val="none"/>
        </w:rPr>
        <w:t>单元</w:t>
      </w:r>
      <w:r>
        <w:rPr>
          <w:color w:val="auto"/>
          <w:highlight w:val="none"/>
        </w:rPr>
        <w:t>顶部吊点数量</w:t>
      </w:r>
      <w:r>
        <w:rPr>
          <w:rFonts w:hint="eastAsia"/>
          <w:color w:val="auto"/>
          <w:highlight w:val="none"/>
        </w:rPr>
        <w:t>不</w:t>
      </w:r>
      <w:r>
        <w:rPr>
          <w:color w:val="auto"/>
          <w:highlight w:val="none"/>
        </w:rPr>
        <w:t>应</w:t>
      </w:r>
      <w:r>
        <w:rPr>
          <w:rFonts w:hint="eastAsia"/>
          <w:color w:val="auto"/>
          <w:highlight w:val="none"/>
        </w:rPr>
        <w:t>少于四</w:t>
      </w:r>
      <w:r>
        <w:rPr>
          <w:color w:val="auto"/>
          <w:highlight w:val="none"/>
        </w:rPr>
        <w:t>个</w:t>
      </w:r>
      <w:r>
        <w:rPr>
          <w:rFonts w:hint="eastAsia"/>
          <w:color w:val="auto"/>
          <w:highlight w:val="none"/>
        </w:rPr>
        <w:t>，</w:t>
      </w:r>
      <w:r>
        <w:rPr>
          <w:color w:val="auto"/>
          <w:highlight w:val="none"/>
        </w:rPr>
        <w:t>吊点宜布置于重心周边的竖向构件上，宜避开门窗洞口顶部等薄弱处布置</w:t>
      </w:r>
      <w:r>
        <w:rPr>
          <w:rFonts w:hint="eastAsia"/>
          <w:color w:val="auto"/>
          <w:highlight w:val="none"/>
        </w:rPr>
        <w:t>；</w:t>
      </w:r>
    </w:p>
    <w:p>
      <w:pPr>
        <w:ind w:firstLine="421" w:firstLineChars="200"/>
        <w:rPr>
          <w:rFonts w:hint="eastAsia" w:eastAsia="宋体"/>
          <w:color w:val="auto"/>
          <w:highlight w:val="none"/>
          <w:lang w:eastAsia="zh-CN"/>
        </w:rPr>
      </w:pPr>
      <w:r>
        <w:rPr>
          <w:rFonts w:hint="eastAsia"/>
          <w:b/>
          <w:color w:val="auto"/>
          <w:szCs w:val="21"/>
          <w:highlight w:val="none"/>
        </w:rPr>
        <w:t>2</w:t>
      </w:r>
      <w:r>
        <w:rPr>
          <w:rFonts w:hint="eastAsia"/>
          <w:color w:val="auto"/>
          <w:highlight w:val="none"/>
        </w:rPr>
        <w:t xml:space="preserve">  预埋吊环距离混凝土边缘的距离不宜小于吊环钢筋直径，且不应小于15mm</w:t>
      </w:r>
      <w:r>
        <w:rPr>
          <w:rFonts w:hint="eastAsia"/>
          <w:color w:val="auto"/>
          <w:highlight w:val="none"/>
          <w:lang w:val="en-US" w:eastAsia="zh-CN"/>
        </w:rPr>
        <w:t>；</w:t>
      </w:r>
    </w:p>
    <w:p>
      <w:pPr>
        <w:ind w:firstLine="421" w:firstLineChars="200"/>
        <w:rPr>
          <w:color w:val="auto"/>
          <w:highlight w:val="none"/>
        </w:rPr>
      </w:pPr>
      <w:r>
        <w:rPr>
          <w:rFonts w:hint="eastAsia"/>
          <w:b/>
          <w:bCs/>
          <w:color w:val="auto"/>
          <w:highlight w:val="none"/>
        </w:rPr>
        <w:t>3</w:t>
      </w:r>
      <w:r>
        <w:rPr>
          <w:b/>
          <w:bCs/>
          <w:color w:val="auto"/>
          <w:highlight w:val="none"/>
        </w:rPr>
        <w:t xml:space="preserve">  </w:t>
      </w:r>
      <w:r>
        <w:rPr>
          <w:rFonts w:hint="eastAsia"/>
          <w:color w:val="auto"/>
          <w:highlight w:val="none"/>
        </w:rPr>
        <w:t>应采用专用吊架起吊，计算时可按照实际吊点数量进行，其荷载标准值应乘以1</w:t>
      </w:r>
      <w:r>
        <w:rPr>
          <w:color w:val="auto"/>
          <w:highlight w:val="none"/>
        </w:rPr>
        <w:t>.5</w:t>
      </w:r>
      <w:r>
        <w:rPr>
          <w:rFonts w:hint="eastAsia"/>
          <w:color w:val="auto"/>
          <w:highlight w:val="none"/>
        </w:rPr>
        <w:t>。</w:t>
      </w:r>
    </w:p>
    <w:p>
      <w:pPr>
        <w:pStyle w:val="47"/>
        <w:numPr>
          <w:ilvl w:val="0"/>
          <w:numId w:val="14"/>
        </w:numPr>
        <w:ind w:firstLineChars="0"/>
        <w:rPr>
          <w:color w:val="auto"/>
          <w:highlight w:val="none"/>
        </w:rPr>
      </w:pPr>
      <w:r>
        <w:rPr>
          <w:rFonts w:hint="eastAsia"/>
          <w:color w:val="auto"/>
          <w:highlight w:val="none"/>
        </w:rPr>
        <w:t>模块单元宜采用内埋式吊杆或吊环进行吊装，并应符合下列规定：</w:t>
      </w:r>
    </w:p>
    <w:p>
      <w:pPr>
        <w:ind w:firstLine="421" w:firstLineChars="200"/>
        <w:rPr>
          <w:bCs/>
          <w:color w:val="auto"/>
          <w:highlight w:val="none"/>
        </w:rPr>
      </w:pPr>
      <w:r>
        <w:rPr>
          <w:b/>
          <w:color w:val="auto"/>
          <w:highlight w:val="none"/>
        </w:rPr>
        <w:t>1</w:t>
      </w:r>
      <w:r>
        <w:rPr>
          <w:rFonts w:hint="eastAsia"/>
          <w:b/>
          <w:color w:val="auto"/>
          <w:highlight w:val="none"/>
        </w:rPr>
        <w:t xml:space="preserve">  </w:t>
      </w:r>
      <w:r>
        <w:rPr>
          <w:rFonts w:hint="eastAsia"/>
          <w:bCs/>
          <w:color w:val="auto"/>
          <w:highlight w:val="none"/>
        </w:rPr>
        <w:t>内埋式吊杆应根据相应的产品标准和应用技术规定选用；</w:t>
      </w:r>
    </w:p>
    <w:p>
      <w:pPr>
        <w:ind w:firstLine="421" w:firstLineChars="200"/>
        <w:rPr>
          <w:bCs/>
          <w:color w:val="auto"/>
          <w:highlight w:val="none"/>
        </w:rPr>
      </w:pPr>
      <w:r>
        <w:rPr>
          <w:b/>
          <w:color w:val="auto"/>
          <w:highlight w:val="none"/>
        </w:rPr>
        <w:t>2</w:t>
      </w:r>
      <w:r>
        <w:rPr>
          <w:rFonts w:hint="eastAsia"/>
          <w:b/>
          <w:color w:val="auto"/>
          <w:highlight w:val="none"/>
        </w:rPr>
        <w:t xml:space="preserve"> </w:t>
      </w:r>
      <w:r>
        <w:rPr>
          <w:rFonts w:hint="eastAsia"/>
          <w:bCs/>
          <w:color w:val="auto"/>
          <w:highlight w:val="none"/>
        </w:rPr>
        <w:t xml:space="preserve"> 吊环应采用HPB300钢筋或Q235B圆钢；</w:t>
      </w:r>
    </w:p>
    <w:p>
      <w:pPr>
        <w:ind w:firstLine="421" w:firstLineChars="200"/>
        <w:rPr>
          <w:b/>
          <w:color w:val="auto"/>
          <w:highlight w:val="none"/>
        </w:rPr>
      </w:pPr>
      <w:r>
        <w:rPr>
          <w:rFonts w:hint="eastAsia"/>
          <w:b/>
          <w:color w:val="auto"/>
          <w:highlight w:val="none"/>
        </w:rPr>
        <w:t xml:space="preserve">3  </w:t>
      </w:r>
      <w:r>
        <w:rPr>
          <w:rFonts w:hint="eastAsia"/>
          <w:bCs/>
          <w:color w:val="auto"/>
          <w:highlight w:val="none"/>
        </w:rPr>
        <w:t>吊环锚入混凝土中的深度不应小于30</w:t>
      </w:r>
      <w:r>
        <w:rPr>
          <w:rFonts w:hint="eastAsia"/>
          <w:bCs/>
          <w:i/>
          <w:iCs/>
          <w:color w:val="auto"/>
          <w:highlight w:val="none"/>
        </w:rPr>
        <w:t>d</w:t>
      </w:r>
      <w:r>
        <w:rPr>
          <w:rFonts w:hint="eastAsia"/>
          <w:bCs/>
          <w:color w:val="auto"/>
          <w:highlight w:val="none"/>
        </w:rPr>
        <w:t>并应焊接或绑扎在钢筋骨架上，</w:t>
      </w:r>
      <w:r>
        <w:rPr>
          <w:rFonts w:hint="eastAsia"/>
          <w:bCs/>
          <w:i/>
          <w:iCs/>
          <w:color w:val="auto"/>
          <w:highlight w:val="none"/>
        </w:rPr>
        <w:t>d</w:t>
      </w:r>
      <w:r>
        <w:rPr>
          <w:rFonts w:hint="eastAsia"/>
          <w:bCs/>
          <w:color w:val="auto"/>
          <w:highlight w:val="none"/>
        </w:rPr>
        <w:t>为吊环钢筋或圆钢的直径；</w:t>
      </w:r>
    </w:p>
    <w:p>
      <w:pPr>
        <w:ind w:firstLine="421" w:firstLineChars="200"/>
        <w:rPr>
          <w:color w:val="auto"/>
          <w:highlight w:val="none"/>
        </w:rPr>
      </w:pPr>
      <w:r>
        <w:rPr>
          <w:rFonts w:hint="eastAsia"/>
          <w:b/>
          <w:color w:val="auto"/>
          <w:highlight w:val="none"/>
        </w:rPr>
        <w:t>4</w:t>
      </w:r>
      <w:r>
        <w:rPr>
          <w:b/>
          <w:bCs/>
          <w:color w:val="auto"/>
          <w:highlight w:val="none"/>
        </w:rPr>
        <w:t xml:space="preserve">  </w:t>
      </w:r>
      <w:r>
        <w:rPr>
          <w:rFonts w:hint="eastAsia"/>
          <w:color w:val="auto"/>
          <w:highlight w:val="none"/>
        </w:rPr>
        <w:t>当采用专用吊架起吊，吊链角度大于80度且无脱模吸附力时，对H</w:t>
      </w:r>
      <w:r>
        <w:rPr>
          <w:color w:val="auto"/>
          <w:highlight w:val="none"/>
        </w:rPr>
        <w:t>PB300</w:t>
      </w:r>
      <w:r>
        <w:rPr>
          <w:rFonts w:hint="eastAsia"/>
          <w:color w:val="auto"/>
          <w:highlight w:val="none"/>
        </w:rPr>
        <w:t>钢筋，吊环应力不应大于</w:t>
      </w:r>
      <w:r>
        <w:rPr>
          <w:color w:val="auto"/>
          <w:highlight w:val="none"/>
        </w:rPr>
        <w:t>90N/</w:t>
      </w:r>
      <w:r>
        <w:rPr>
          <w:rFonts w:hint="eastAsia"/>
          <w:color w:val="auto"/>
          <w:highlight w:val="none"/>
        </w:rPr>
        <w:t>mm</w:t>
      </w:r>
      <w:r>
        <w:rPr>
          <w:color w:val="auto"/>
          <w:highlight w:val="none"/>
          <w:vertAlign w:val="superscript"/>
        </w:rPr>
        <w:t>2</w:t>
      </w:r>
      <w:r>
        <w:rPr>
          <w:rFonts w:hint="eastAsia"/>
          <w:color w:val="auto"/>
          <w:highlight w:val="none"/>
        </w:rPr>
        <w:t>；对于Q</w:t>
      </w:r>
      <w:r>
        <w:rPr>
          <w:color w:val="auto"/>
          <w:highlight w:val="none"/>
        </w:rPr>
        <w:t>235B</w:t>
      </w:r>
      <w:r>
        <w:rPr>
          <w:rFonts w:hint="eastAsia"/>
          <w:color w:val="auto"/>
          <w:highlight w:val="none"/>
        </w:rPr>
        <w:t>圆钢，吊环应力不应大于7</w:t>
      </w:r>
      <w:r>
        <w:rPr>
          <w:color w:val="auto"/>
          <w:highlight w:val="none"/>
        </w:rPr>
        <w:t>0N/</w:t>
      </w:r>
      <w:r>
        <w:rPr>
          <w:rFonts w:hint="eastAsia"/>
          <w:color w:val="auto"/>
          <w:highlight w:val="none"/>
        </w:rPr>
        <w:t>mm</w:t>
      </w:r>
      <w:r>
        <w:rPr>
          <w:color w:val="auto"/>
          <w:highlight w:val="none"/>
          <w:vertAlign w:val="superscript"/>
        </w:rPr>
        <w:t>2</w:t>
      </w:r>
      <w:r>
        <w:rPr>
          <w:rFonts w:hint="eastAsia"/>
          <w:color w:val="auto"/>
          <w:highlight w:val="none"/>
        </w:rPr>
        <w:t>。</w:t>
      </w:r>
    </w:p>
    <w:p>
      <w:pPr>
        <w:pStyle w:val="47"/>
        <w:numPr>
          <w:ilvl w:val="0"/>
          <w:numId w:val="14"/>
        </w:numPr>
        <w:ind w:firstLineChars="0"/>
        <w:rPr>
          <w:color w:val="auto"/>
          <w:highlight w:val="none"/>
        </w:rPr>
      </w:pPr>
      <w:r>
        <w:rPr>
          <w:color w:val="auto"/>
          <w:highlight w:val="none"/>
        </w:rPr>
        <w:t>模块单元中的构件在脱模状况下的验算及加固措施</w:t>
      </w:r>
      <w:r>
        <w:rPr>
          <w:rFonts w:hint="eastAsia"/>
          <w:color w:val="auto"/>
          <w:highlight w:val="none"/>
        </w:rPr>
        <w:t>，应符合下列规定</w:t>
      </w:r>
      <w:r>
        <w:rPr>
          <w:color w:val="auto"/>
          <w:highlight w:val="none"/>
        </w:rPr>
        <w:t>：</w:t>
      </w:r>
    </w:p>
    <w:p>
      <w:pPr>
        <w:ind w:firstLine="421" w:firstLineChars="200"/>
        <w:rPr>
          <w:color w:val="auto"/>
          <w:highlight w:val="none"/>
        </w:rPr>
      </w:pPr>
      <w:r>
        <w:rPr>
          <w:b/>
          <w:color w:val="auto"/>
          <w:highlight w:val="none"/>
        </w:rPr>
        <w:t xml:space="preserve">1  </w:t>
      </w:r>
      <w:r>
        <w:rPr>
          <w:color w:val="auto"/>
          <w:highlight w:val="none"/>
        </w:rPr>
        <w:t>模块单元脱模起吊时的混凝土立方体抗压强度不宜小于15MPa；</w:t>
      </w:r>
    </w:p>
    <w:p>
      <w:pPr>
        <w:ind w:firstLine="421" w:firstLineChars="200"/>
        <w:rPr>
          <w:bCs/>
          <w:color w:val="auto"/>
          <w:highlight w:val="none"/>
        </w:rPr>
      </w:pPr>
      <w:r>
        <w:rPr>
          <w:b/>
          <w:color w:val="auto"/>
          <w:highlight w:val="none"/>
        </w:rPr>
        <w:t xml:space="preserve">2  </w:t>
      </w:r>
      <w:r>
        <w:rPr>
          <w:bCs/>
          <w:color w:val="auto"/>
          <w:highlight w:val="none"/>
        </w:rPr>
        <w:t>模块单元中的构件进行脱模验算时，等效静力荷载标准值应取构件自重标准值乘以动力系数与脱模吸附力之和，且不宜小于构件自重标准值的</w:t>
      </w:r>
      <w:r>
        <w:rPr>
          <w:color w:val="auto"/>
          <w:highlight w:val="none"/>
        </w:rPr>
        <w:t>1.5</w:t>
      </w:r>
      <w:r>
        <w:rPr>
          <w:bCs/>
          <w:color w:val="auto"/>
          <w:highlight w:val="none"/>
        </w:rPr>
        <w:t>倍。其中动力系数不宜小</w:t>
      </w:r>
      <w:r>
        <w:rPr>
          <w:color w:val="auto"/>
          <w:highlight w:val="none"/>
        </w:rPr>
        <w:t>于1.2，脱模吸附力应根据构件和模具的实际状况取用，且不宜小于1.5kN/m</w:t>
      </w:r>
      <w:r>
        <w:rPr>
          <w:color w:val="auto"/>
          <w:highlight w:val="none"/>
          <w:vertAlign w:val="superscript"/>
        </w:rPr>
        <w:t>2</w:t>
      </w:r>
      <w:r>
        <w:rPr>
          <w:rFonts w:hint="eastAsia"/>
          <w:color w:val="auto"/>
          <w:highlight w:val="none"/>
        </w:rPr>
        <w:t>；</w:t>
      </w:r>
    </w:p>
    <w:p>
      <w:pPr>
        <w:ind w:firstLine="421" w:firstLineChars="200"/>
        <w:rPr>
          <w:color w:val="auto"/>
          <w:highlight w:val="none"/>
        </w:rPr>
      </w:pPr>
      <w:r>
        <w:rPr>
          <w:rFonts w:hint="eastAsia"/>
          <w:b/>
          <w:color w:val="auto"/>
          <w:highlight w:val="none"/>
        </w:rPr>
        <w:t>3</w:t>
      </w:r>
      <w:r>
        <w:rPr>
          <w:b/>
          <w:color w:val="auto"/>
          <w:highlight w:val="none"/>
        </w:rPr>
        <w:t xml:space="preserve">  </w:t>
      </w:r>
      <w:r>
        <w:rPr>
          <w:color w:val="auto"/>
          <w:highlight w:val="none"/>
        </w:rPr>
        <w:t>模块</w:t>
      </w:r>
      <w:r>
        <w:rPr>
          <w:rFonts w:hint="eastAsia"/>
          <w:color w:val="auto"/>
          <w:highlight w:val="none"/>
        </w:rPr>
        <w:t>单元</w:t>
      </w:r>
      <w:r>
        <w:rPr>
          <w:color w:val="auto"/>
          <w:highlight w:val="none"/>
        </w:rPr>
        <w:t>脱模吊点应按起吊状况下的吊点布置原则布置，并考虑脱模吸附力作用进行吊点承载力验算；</w:t>
      </w:r>
    </w:p>
    <w:p>
      <w:pPr>
        <w:ind w:firstLine="421" w:firstLineChars="200"/>
        <w:rPr>
          <w:color w:val="auto"/>
          <w:highlight w:val="none"/>
        </w:rPr>
      </w:pPr>
      <w:r>
        <w:rPr>
          <w:rFonts w:hint="eastAsia"/>
          <w:b/>
          <w:color w:val="auto"/>
          <w:highlight w:val="none"/>
        </w:rPr>
        <w:t>4</w:t>
      </w:r>
      <w:r>
        <w:rPr>
          <w:b/>
          <w:color w:val="auto"/>
          <w:highlight w:val="none"/>
        </w:rPr>
        <w:t xml:space="preserve">  </w:t>
      </w:r>
      <w:r>
        <w:rPr>
          <w:color w:val="auto"/>
          <w:highlight w:val="none"/>
        </w:rPr>
        <w:t>当模块</w:t>
      </w:r>
      <w:r>
        <w:rPr>
          <w:rFonts w:hint="eastAsia"/>
          <w:color w:val="auto"/>
          <w:highlight w:val="none"/>
        </w:rPr>
        <w:t>单元</w:t>
      </w:r>
      <w:r>
        <w:rPr>
          <w:color w:val="auto"/>
          <w:highlight w:val="none"/>
        </w:rPr>
        <w:t>吊点上部吊链存在斜拉时，应对吊点处竖杆起水平支撑作用的梁或板</w:t>
      </w:r>
      <w:r>
        <w:rPr>
          <w:rFonts w:hint="eastAsia"/>
          <w:color w:val="auto"/>
          <w:highlight w:val="none"/>
        </w:rPr>
        <w:t>进行</w:t>
      </w:r>
      <w:r>
        <w:rPr>
          <w:color w:val="auto"/>
          <w:highlight w:val="none"/>
        </w:rPr>
        <w:t>轴心</w:t>
      </w:r>
      <w:r>
        <w:rPr>
          <w:rFonts w:hint="eastAsia"/>
          <w:color w:val="auto"/>
          <w:highlight w:val="none"/>
        </w:rPr>
        <w:t>承载力验算</w:t>
      </w:r>
      <w:r>
        <w:rPr>
          <w:color w:val="auto"/>
          <w:highlight w:val="none"/>
        </w:rPr>
        <w:t>。</w:t>
      </w:r>
    </w:p>
    <w:p>
      <w:pPr>
        <w:pStyle w:val="47"/>
        <w:numPr>
          <w:ilvl w:val="0"/>
          <w:numId w:val="14"/>
        </w:numPr>
        <w:ind w:firstLineChars="0"/>
        <w:rPr>
          <w:color w:val="auto"/>
          <w:highlight w:val="none"/>
        </w:rPr>
      </w:pPr>
      <w:r>
        <w:rPr>
          <w:color w:val="auto"/>
          <w:highlight w:val="none"/>
        </w:rPr>
        <w:t>模块单元安装状况下的验算</w:t>
      </w:r>
      <w:r>
        <w:rPr>
          <w:rFonts w:hint="eastAsia"/>
          <w:color w:val="auto"/>
          <w:highlight w:val="none"/>
        </w:rPr>
        <w:t>及</w:t>
      </w:r>
      <w:r>
        <w:rPr>
          <w:color w:val="auto"/>
          <w:highlight w:val="none"/>
        </w:rPr>
        <w:t>支撑加固措施应符合下列规定：</w:t>
      </w:r>
    </w:p>
    <w:p>
      <w:pPr>
        <w:ind w:firstLine="421" w:firstLineChars="200"/>
        <w:rPr>
          <w:rStyle w:val="49"/>
          <w:color w:val="auto"/>
          <w:highlight w:val="none"/>
        </w:rPr>
      </w:pPr>
      <w:r>
        <w:rPr>
          <w:b/>
          <w:color w:val="auto"/>
          <w:highlight w:val="none"/>
        </w:rPr>
        <w:t xml:space="preserve">1  </w:t>
      </w:r>
      <w:r>
        <w:rPr>
          <w:color w:val="auto"/>
          <w:highlight w:val="none"/>
        </w:rPr>
        <w:t>模块</w:t>
      </w:r>
      <w:r>
        <w:rPr>
          <w:rFonts w:hint="eastAsia"/>
          <w:color w:val="auto"/>
          <w:highlight w:val="none"/>
        </w:rPr>
        <w:t>单元</w:t>
      </w:r>
      <w:r>
        <w:rPr>
          <w:color w:val="auto"/>
          <w:highlight w:val="none"/>
        </w:rPr>
        <w:t>安装时，应进行水平风荷载下的抗倾覆验算</w:t>
      </w:r>
      <w:r>
        <w:rPr>
          <w:rFonts w:hint="eastAsia"/>
          <w:color w:val="auto"/>
          <w:highlight w:val="none"/>
        </w:rPr>
        <w:t>，并应满足下式要求</w:t>
      </w:r>
      <w:r>
        <w:rPr>
          <w:color w:val="auto"/>
          <w:highlight w:val="none"/>
        </w:rPr>
        <w:t>，当模块</w:t>
      </w:r>
      <w:r>
        <w:rPr>
          <w:rFonts w:hint="eastAsia"/>
          <w:color w:val="auto"/>
          <w:highlight w:val="none"/>
        </w:rPr>
        <w:t>单元</w:t>
      </w:r>
      <w:r>
        <w:rPr>
          <w:color w:val="auto"/>
          <w:highlight w:val="none"/>
        </w:rPr>
        <w:t>抗倾覆不满足时，则应设置临时支撑以满足模块</w:t>
      </w:r>
      <w:r>
        <w:rPr>
          <w:rFonts w:hint="eastAsia"/>
          <w:color w:val="auto"/>
          <w:highlight w:val="none"/>
        </w:rPr>
        <w:t>单元</w:t>
      </w:r>
      <w:r>
        <w:rPr>
          <w:color w:val="auto"/>
          <w:highlight w:val="none"/>
        </w:rPr>
        <w:t>的抗倾覆要求。</w:t>
      </w:r>
    </w:p>
    <w:p>
      <w:pPr>
        <w:wordWrap w:val="0"/>
        <w:snapToGrid w:val="0"/>
        <w:ind w:firstLine="420" w:firstLineChars="200"/>
        <w:jc w:val="right"/>
        <w:rPr>
          <w:color w:val="auto"/>
          <w:highlight w:val="none"/>
        </w:rPr>
      </w:pPr>
      <w:r>
        <w:rPr>
          <w:i/>
          <w:color w:val="auto"/>
          <w:highlight w:val="none"/>
        </w:rPr>
        <w:t>M</w:t>
      </w:r>
      <w:r>
        <w:rPr>
          <w:color w:val="auto"/>
          <w:highlight w:val="none"/>
          <w:vertAlign w:val="subscript"/>
        </w:rPr>
        <w:t>g</w:t>
      </w:r>
      <w:r>
        <w:rPr>
          <w:color w:val="auto"/>
          <w:highlight w:val="none"/>
        </w:rPr>
        <w:t>/</w:t>
      </w:r>
      <w:r>
        <w:rPr>
          <w:i/>
          <w:color w:val="auto"/>
          <w:highlight w:val="none"/>
        </w:rPr>
        <w:t>M</w:t>
      </w:r>
      <w:r>
        <w:rPr>
          <w:color w:val="auto"/>
          <w:highlight w:val="none"/>
          <w:vertAlign w:val="subscript"/>
        </w:rPr>
        <w:t>w</w:t>
      </w:r>
      <w:r>
        <w:rPr>
          <w:color w:val="auto"/>
          <w:highlight w:val="none"/>
        </w:rPr>
        <w:t>≥1</w:t>
      </w:r>
      <w:r>
        <w:rPr>
          <w:rFonts w:ascii="宋体" w:hAnsi="宋体"/>
          <w:color w:val="auto"/>
          <w:highlight w:val="none"/>
        </w:rPr>
        <w:t>.</w:t>
      </w:r>
      <w:r>
        <w:rPr>
          <w:color w:val="auto"/>
          <w:highlight w:val="none"/>
        </w:rPr>
        <w:t xml:space="preserve">5 </w:t>
      </w:r>
      <w:r>
        <w:rPr>
          <w:rFonts w:hint="eastAsia"/>
          <w:color w:val="auto"/>
          <w:highlight w:val="none"/>
        </w:rPr>
        <w:t xml:space="preserve">     </w:t>
      </w:r>
      <w:r>
        <w:rPr>
          <w:color w:val="auto"/>
          <w:highlight w:val="none"/>
        </w:rPr>
        <w:t xml:space="preserve">                         (</w:t>
      </w:r>
      <w:r>
        <w:rPr>
          <w:rFonts w:hint="eastAsia"/>
          <w:color w:val="auto"/>
          <w:highlight w:val="none"/>
        </w:rPr>
        <w:t>5.5.6</w:t>
      </w:r>
      <w:r>
        <w:rPr>
          <w:color w:val="auto"/>
          <w:highlight w:val="none"/>
        </w:rPr>
        <w:t>-1)</w:t>
      </w:r>
    </w:p>
    <w:p>
      <w:pPr>
        <w:rPr>
          <w:color w:val="auto"/>
          <w:highlight w:val="none"/>
        </w:rPr>
      </w:pPr>
      <w:r>
        <w:rPr>
          <w:color w:val="auto"/>
          <w:highlight w:val="none"/>
        </w:rPr>
        <w:t>式中：</w:t>
      </w:r>
      <w:r>
        <w:rPr>
          <w:i/>
          <w:color w:val="auto"/>
          <w:highlight w:val="none"/>
        </w:rPr>
        <w:t>M</w:t>
      </w:r>
      <w:r>
        <w:rPr>
          <w:color w:val="auto"/>
          <w:highlight w:val="none"/>
          <w:vertAlign w:val="subscript"/>
        </w:rPr>
        <w:t>w</w:t>
      </w:r>
      <w:r>
        <w:rPr>
          <w:color w:val="auto"/>
          <w:highlight w:val="none"/>
        </w:rPr>
        <w:t xml:space="preserve"> – </w:t>
      </w:r>
      <w:r>
        <w:rPr>
          <w:rFonts w:hint="eastAsia"/>
          <w:color w:val="auto"/>
          <w:highlight w:val="none"/>
        </w:rPr>
        <w:t>风荷载标准值作用下的倾覆力矩；</w:t>
      </w:r>
    </w:p>
    <w:p>
      <w:pPr>
        <w:ind w:firstLine="630" w:firstLineChars="300"/>
        <w:rPr>
          <w:color w:val="auto"/>
          <w:highlight w:val="none"/>
        </w:rPr>
      </w:pPr>
      <w:r>
        <w:rPr>
          <w:i/>
          <w:color w:val="auto"/>
          <w:highlight w:val="none"/>
        </w:rPr>
        <w:t>M</w:t>
      </w:r>
      <w:r>
        <w:rPr>
          <w:color w:val="auto"/>
          <w:highlight w:val="none"/>
          <w:vertAlign w:val="subscript"/>
        </w:rPr>
        <w:t>g</w:t>
      </w:r>
      <w:r>
        <w:rPr>
          <w:color w:val="auto"/>
          <w:highlight w:val="none"/>
        </w:rPr>
        <w:t xml:space="preserve"> – 模块</w:t>
      </w:r>
      <w:r>
        <w:rPr>
          <w:rFonts w:hint="eastAsia"/>
          <w:color w:val="auto"/>
          <w:highlight w:val="none"/>
        </w:rPr>
        <w:t>单元</w:t>
      </w:r>
      <w:r>
        <w:rPr>
          <w:color w:val="auto"/>
          <w:highlight w:val="none"/>
        </w:rPr>
        <w:t>自重</w:t>
      </w:r>
      <w:r>
        <w:rPr>
          <w:rFonts w:hint="eastAsia"/>
          <w:color w:val="auto"/>
          <w:highlight w:val="none"/>
        </w:rPr>
        <w:t>标准值</w:t>
      </w:r>
      <w:r>
        <w:rPr>
          <w:color w:val="auto"/>
          <w:highlight w:val="none"/>
        </w:rPr>
        <w:t>下的抗倾覆力矩；</w:t>
      </w:r>
    </w:p>
    <w:p>
      <w:pPr>
        <w:snapToGrid w:val="0"/>
        <w:ind w:firstLine="421" w:firstLineChars="200"/>
        <w:rPr>
          <w:bCs/>
          <w:color w:val="auto"/>
          <w:highlight w:val="none"/>
        </w:rPr>
      </w:pPr>
      <w:r>
        <w:rPr>
          <w:rFonts w:hint="eastAsia"/>
          <w:b/>
          <w:color w:val="auto"/>
          <w:highlight w:val="none"/>
        </w:rPr>
        <w:t>2</w:t>
      </w:r>
      <w:r>
        <w:rPr>
          <w:b/>
          <w:color w:val="auto"/>
          <w:highlight w:val="none"/>
        </w:rPr>
        <w:t xml:space="preserve">  </w:t>
      </w:r>
      <w:r>
        <w:rPr>
          <w:rFonts w:hint="eastAsia"/>
          <w:bCs/>
          <w:color w:val="auto"/>
          <w:highlight w:val="none"/>
        </w:rPr>
        <w:t>模块单元安装时，应进行水平风荷载下的抗滑移验算，并应满足下式要求，当模块抗滑移不满足时，应设置临时支撑以满足模块的抗滑移要求。</w:t>
      </w:r>
    </w:p>
    <w:p>
      <w:pPr>
        <w:wordWrap w:val="0"/>
        <w:snapToGrid w:val="0"/>
        <w:ind w:firstLine="420" w:firstLineChars="200"/>
        <w:jc w:val="right"/>
        <w:rPr>
          <w:color w:val="auto"/>
          <w:highlight w:val="none"/>
        </w:rPr>
      </w:pPr>
      <w:r>
        <w:rPr>
          <w:i/>
          <w:color w:val="auto"/>
          <w:highlight w:val="none"/>
        </w:rPr>
        <w:t>μG</w:t>
      </w:r>
      <w:r>
        <w:rPr>
          <w:color w:val="auto"/>
          <w:highlight w:val="none"/>
        </w:rPr>
        <w:t>/</w:t>
      </w:r>
      <w:r>
        <w:rPr>
          <w:i/>
          <w:color w:val="auto"/>
          <w:highlight w:val="none"/>
        </w:rPr>
        <w:t>N</w:t>
      </w:r>
      <w:r>
        <w:rPr>
          <w:color w:val="auto"/>
          <w:highlight w:val="none"/>
          <w:vertAlign w:val="subscript"/>
        </w:rPr>
        <w:t>w</w:t>
      </w:r>
      <w:r>
        <w:rPr>
          <w:color w:val="auto"/>
          <w:highlight w:val="none"/>
        </w:rPr>
        <w:t>≥1</w:t>
      </w:r>
      <w:r>
        <w:rPr>
          <w:rFonts w:ascii="宋体" w:hAnsi="宋体"/>
          <w:color w:val="auto"/>
          <w:highlight w:val="none"/>
        </w:rPr>
        <w:t>.</w:t>
      </w:r>
      <w:r>
        <w:rPr>
          <w:color w:val="auto"/>
          <w:highlight w:val="none"/>
        </w:rPr>
        <w:t xml:space="preserve">3   </w:t>
      </w:r>
      <w:r>
        <w:rPr>
          <w:rFonts w:hint="eastAsia"/>
          <w:color w:val="auto"/>
          <w:highlight w:val="none"/>
        </w:rPr>
        <w:t xml:space="preserve">     </w:t>
      </w:r>
      <w:r>
        <w:rPr>
          <w:color w:val="auto"/>
          <w:highlight w:val="none"/>
        </w:rPr>
        <w:t xml:space="preserve">                       (</w:t>
      </w:r>
      <w:r>
        <w:rPr>
          <w:rFonts w:hint="eastAsia"/>
          <w:color w:val="auto"/>
          <w:highlight w:val="none"/>
        </w:rPr>
        <w:t>5.5.6</w:t>
      </w:r>
      <w:r>
        <w:rPr>
          <w:color w:val="auto"/>
          <w:highlight w:val="none"/>
        </w:rPr>
        <w:t>-2)</w:t>
      </w:r>
    </w:p>
    <w:p>
      <w:pPr>
        <w:rPr>
          <w:color w:val="auto"/>
          <w:highlight w:val="none"/>
        </w:rPr>
      </w:pPr>
      <w:r>
        <w:rPr>
          <w:color w:val="auto"/>
          <w:highlight w:val="none"/>
        </w:rPr>
        <w:t>式中：</w:t>
      </w:r>
      <w:r>
        <w:rPr>
          <w:i/>
          <w:color w:val="auto"/>
          <w:highlight w:val="none"/>
        </w:rPr>
        <w:t>μ</w:t>
      </w:r>
      <w:r>
        <w:rPr>
          <w:color w:val="auto"/>
          <w:highlight w:val="none"/>
        </w:rPr>
        <w:t xml:space="preserve">– </w:t>
      </w:r>
      <w:r>
        <w:rPr>
          <w:rFonts w:hint="eastAsia"/>
          <w:color w:val="auto"/>
          <w:highlight w:val="none"/>
        </w:rPr>
        <w:t>摩擦系数，取0</w:t>
      </w:r>
      <w:r>
        <w:rPr>
          <w:rFonts w:ascii="宋体" w:hAnsi="宋体"/>
          <w:color w:val="auto"/>
          <w:highlight w:val="none"/>
        </w:rPr>
        <w:t>.</w:t>
      </w:r>
      <w:r>
        <w:rPr>
          <w:color w:val="auto"/>
          <w:highlight w:val="none"/>
        </w:rPr>
        <w:t>4；</w:t>
      </w:r>
    </w:p>
    <w:p>
      <w:pPr>
        <w:ind w:firstLine="630" w:firstLineChars="300"/>
        <w:rPr>
          <w:color w:val="auto"/>
          <w:highlight w:val="none"/>
        </w:rPr>
      </w:pPr>
      <w:r>
        <w:rPr>
          <w:i/>
          <w:color w:val="auto"/>
          <w:highlight w:val="none"/>
        </w:rPr>
        <w:t>G</w:t>
      </w:r>
      <w:r>
        <w:rPr>
          <w:color w:val="auto"/>
          <w:highlight w:val="none"/>
        </w:rPr>
        <w:t xml:space="preserve">– </w:t>
      </w:r>
      <w:r>
        <w:rPr>
          <w:rFonts w:hint="eastAsia"/>
          <w:color w:val="auto"/>
          <w:highlight w:val="none"/>
        </w:rPr>
        <w:t>模块单元的重力荷载标准值</w:t>
      </w:r>
      <w:r>
        <w:rPr>
          <w:color w:val="auto"/>
          <w:highlight w:val="none"/>
        </w:rPr>
        <w:t>；</w:t>
      </w:r>
    </w:p>
    <w:p>
      <w:pPr>
        <w:ind w:firstLine="630" w:firstLineChars="300"/>
        <w:rPr>
          <w:color w:val="auto"/>
          <w:highlight w:val="none"/>
        </w:rPr>
      </w:pPr>
      <w:r>
        <w:rPr>
          <w:i/>
          <w:color w:val="auto"/>
          <w:highlight w:val="none"/>
        </w:rPr>
        <w:t>N</w:t>
      </w:r>
      <w:r>
        <w:rPr>
          <w:rFonts w:hint="eastAsia"/>
          <w:color w:val="auto"/>
          <w:highlight w:val="none"/>
          <w:vertAlign w:val="subscript"/>
        </w:rPr>
        <w:t>w</w:t>
      </w:r>
      <w:r>
        <w:rPr>
          <w:color w:val="auto"/>
          <w:highlight w:val="none"/>
        </w:rPr>
        <w:t xml:space="preserve"> – 风荷载</w:t>
      </w:r>
      <w:r>
        <w:rPr>
          <w:rFonts w:hint="eastAsia"/>
          <w:color w:val="auto"/>
          <w:highlight w:val="none"/>
        </w:rPr>
        <w:t>标准值</w:t>
      </w:r>
      <w:r>
        <w:rPr>
          <w:color w:val="auto"/>
          <w:highlight w:val="none"/>
        </w:rPr>
        <w:t>作用下的</w:t>
      </w:r>
      <w:r>
        <w:rPr>
          <w:rFonts w:hint="eastAsia"/>
          <w:color w:val="auto"/>
          <w:highlight w:val="none"/>
        </w:rPr>
        <w:t>水平力</w:t>
      </w:r>
      <w:r>
        <w:rPr>
          <w:color w:val="auto"/>
          <w:highlight w:val="none"/>
        </w:rPr>
        <w:t>；</w:t>
      </w:r>
    </w:p>
    <w:p>
      <w:pPr>
        <w:ind w:firstLine="421" w:firstLineChars="200"/>
        <w:rPr>
          <w:color w:val="auto"/>
          <w:highlight w:val="none"/>
        </w:rPr>
      </w:pPr>
      <w:r>
        <w:rPr>
          <w:rFonts w:hint="eastAsia"/>
          <w:b/>
          <w:color w:val="auto"/>
          <w:highlight w:val="none"/>
        </w:rPr>
        <w:t>3</w:t>
      </w:r>
      <w:r>
        <w:rPr>
          <w:b/>
          <w:color w:val="auto"/>
          <w:highlight w:val="none"/>
        </w:rPr>
        <w:t xml:space="preserve">  </w:t>
      </w:r>
      <w:r>
        <w:rPr>
          <w:rFonts w:hint="eastAsia"/>
          <w:color w:val="auto"/>
          <w:highlight w:val="none"/>
        </w:rPr>
        <w:t>施工状态下应对模壳板及隔墙进行承载力、变形和稳定性分析。</w:t>
      </w:r>
    </w:p>
    <w:p>
      <w:pPr>
        <w:pStyle w:val="4"/>
        <w:rPr>
          <w:color w:val="auto"/>
          <w:highlight w:val="none"/>
        </w:rPr>
      </w:pPr>
      <w:bookmarkStart w:id="577" w:name="_Toc8604"/>
      <w:bookmarkStart w:id="578" w:name="_Toc17120"/>
      <w:bookmarkStart w:id="579" w:name="_Toc7108"/>
      <w:bookmarkStart w:id="580" w:name="_Toc29352"/>
      <w:bookmarkStart w:id="581" w:name="_Toc25821"/>
      <w:bookmarkStart w:id="582" w:name="_Toc30296"/>
      <w:r>
        <w:rPr>
          <w:b/>
          <w:bCs w:val="0"/>
          <w:color w:val="auto"/>
          <w:highlight w:val="none"/>
        </w:rPr>
        <w:t>5</w:t>
      </w:r>
      <w:r>
        <w:rPr>
          <w:rFonts w:hint="eastAsia" w:ascii="宋体" w:hAnsi="宋体" w:eastAsia="宋体"/>
          <w:color w:val="auto"/>
          <w:szCs w:val="21"/>
          <w:highlight w:val="none"/>
        </w:rPr>
        <w:t>.</w:t>
      </w:r>
      <w:r>
        <w:rPr>
          <w:rFonts w:hint="eastAsia" w:eastAsia="宋体"/>
          <w:b/>
          <w:bCs w:val="0"/>
          <w:color w:val="auto"/>
          <w:highlight w:val="none"/>
        </w:rPr>
        <w:t>6</w:t>
      </w:r>
      <w:r>
        <w:rPr>
          <w:rFonts w:hint="eastAsia"/>
          <w:color w:val="auto"/>
          <w:highlight w:val="none"/>
        </w:rPr>
        <w:t xml:space="preserve">  地基基础</w:t>
      </w:r>
      <w:bookmarkEnd w:id="577"/>
      <w:bookmarkEnd w:id="578"/>
      <w:bookmarkEnd w:id="579"/>
      <w:bookmarkEnd w:id="580"/>
      <w:bookmarkEnd w:id="581"/>
      <w:bookmarkEnd w:id="582"/>
    </w:p>
    <w:p>
      <w:pPr>
        <w:pStyle w:val="47"/>
        <w:numPr>
          <w:ilvl w:val="0"/>
          <w:numId w:val="15"/>
        </w:numPr>
        <w:ind w:firstLineChars="0"/>
        <w:rPr>
          <w:color w:val="auto"/>
          <w:highlight w:val="none"/>
        </w:rPr>
      </w:pPr>
      <w:r>
        <w:rPr>
          <w:rFonts w:hint="eastAsia"/>
          <w:color w:val="auto"/>
          <w:highlight w:val="none"/>
        </w:rPr>
        <w:t>地基基础应满足现行国家标准《建筑与市政工程抗震通用规范》GB 55002、《建筑地基基础设计规范》GB 50007以及上海市地方标准《地基基础设计标准》DGJ 08-11的相关规定。</w:t>
      </w:r>
    </w:p>
    <w:p>
      <w:pPr>
        <w:numPr>
          <w:ilvl w:val="0"/>
          <w:numId w:val="15"/>
        </w:numPr>
        <w:tabs>
          <w:tab w:val="left" w:pos="0"/>
        </w:tabs>
        <w:rPr>
          <w:color w:val="auto"/>
          <w:highlight w:val="none"/>
        </w:rPr>
      </w:pPr>
      <w:r>
        <w:rPr>
          <w:rFonts w:hint="eastAsia"/>
          <w:bCs/>
          <w:color w:val="auto"/>
          <w:highlight w:val="none"/>
        </w:rPr>
        <w:t>混凝土模块化建筑</w:t>
      </w:r>
      <w:r>
        <w:rPr>
          <w:rFonts w:hint="eastAsia"/>
          <w:color w:val="auto"/>
          <w:highlight w:val="none"/>
        </w:rPr>
        <w:t>基础可选用</w:t>
      </w:r>
      <w:r>
        <w:rPr>
          <w:color w:val="auto"/>
          <w:highlight w:val="none"/>
        </w:rPr>
        <w:t>独立基础、条形基础、筏板基础以及桩基础等多种类型。</w:t>
      </w:r>
    </w:p>
    <w:p>
      <w:pPr>
        <w:numPr>
          <w:ilvl w:val="0"/>
          <w:numId w:val="15"/>
        </w:numPr>
        <w:tabs>
          <w:tab w:val="left" w:pos="0"/>
        </w:tabs>
        <w:rPr>
          <w:color w:val="auto"/>
          <w:highlight w:val="none"/>
        </w:rPr>
      </w:pPr>
      <w:r>
        <w:rPr>
          <w:rFonts w:hint="eastAsia"/>
          <w:color w:val="auto"/>
          <w:highlight w:val="none"/>
        </w:rPr>
        <w:t>基础应有足够的埋深，且周边应有良好的嵌固约束，在地质均匀条件下，基底平面形心宜与上部结构竖向永久荷载中心重合。当不能重合时，偏心距离</w:t>
      </w:r>
      <w:r>
        <w:rPr>
          <w:rFonts w:hint="eastAsia"/>
          <w:i/>
          <w:iCs/>
          <w:color w:val="auto"/>
          <w:highlight w:val="none"/>
        </w:rPr>
        <w:t>e</w:t>
      </w:r>
      <w:r>
        <w:rPr>
          <w:rFonts w:hint="eastAsia"/>
          <w:color w:val="auto"/>
          <w:highlight w:val="none"/>
        </w:rPr>
        <w:t>应符合下式要求：</w:t>
      </w:r>
    </w:p>
    <w:p>
      <w:pPr>
        <w:wordWrap w:val="0"/>
        <w:snapToGrid w:val="0"/>
        <w:spacing w:before="156" w:beforeLines="50" w:after="156" w:afterLines="50"/>
        <w:ind w:firstLine="420" w:firstLineChars="200"/>
        <w:jc w:val="right"/>
        <w:rPr>
          <w:color w:val="auto"/>
          <w:highlight w:val="none"/>
        </w:rPr>
      </w:pPr>
      <w:r>
        <w:rPr>
          <w:rFonts w:hint="eastAsia"/>
          <w:i/>
          <w:color w:val="auto"/>
          <w:highlight w:val="none"/>
        </w:rPr>
        <w:t>e≤</w:t>
      </w:r>
      <w:r>
        <w:rPr>
          <w:rFonts w:hint="eastAsia"/>
          <w:iCs/>
          <w:color w:val="auto"/>
          <w:highlight w:val="none"/>
        </w:rPr>
        <w:t>0.1</w:t>
      </w:r>
      <w:r>
        <w:rPr>
          <w:rFonts w:hint="eastAsia"/>
          <w:i/>
          <w:color w:val="auto"/>
          <w:highlight w:val="none"/>
        </w:rPr>
        <w:t>W</w:t>
      </w:r>
      <w:r>
        <w:rPr>
          <w:color w:val="auto"/>
          <w:highlight w:val="none"/>
        </w:rPr>
        <w:t>/</w:t>
      </w:r>
      <w:r>
        <w:rPr>
          <w:rFonts w:hint="eastAsia"/>
          <w:i/>
          <w:color w:val="auto"/>
          <w:highlight w:val="none"/>
        </w:rPr>
        <w:t xml:space="preserve">A  </w:t>
      </w:r>
      <w:r>
        <w:rPr>
          <w:color w:val="auto"/>
          <w:highlight w:val="none"/>
        </w:rPr>
        <w:t xml:space="preserve"> </w:t>
      </w:r>
      <w:r>
        <w:rPr>
          <w:rFonts w:hint="eastAsia"/>
          <w:color w:val="auto"/>
          <w:highlight w:val="none"/>
        </w:rPr>
        <w:t xml:space="preserve">     </w:t>
      </w:r>
      <w:r>
        <w:rPr>
          <w:color w:val="auto"/>
          <w:highlight w:val="none"/>
        </w:rPr>
        <w:t xml:space="preserve">         </w:t>
      </w:r>
      <w:r>
        <w:rPr>
          <w:rFonts w:hint="eastAsia"/>
          <w:color w:val="auto"/>
          <w:highlight w:val="none"/>
        </w:rPr>
        <w:t xml:space="preserve">  </w:t>
      </w:r>
      <w:r>
        <w:rPr>
          <w:color w:val="auto"/>
          <w:highlight w:val="none"/>
        </w:rPr>
        <w:t xml:space="preserve">                (</w:t>
      </w:r>
      <w:r>
        <w:rPr>
          <w:rFonts w:hint="eastAsia"/>
          <w:color w:val="auto"/>
          <w:highlight w:val="none"/>
        </w:rPr>
        <w:t>5.6.3</w:t>
      </w:r>
      <w:r>
        <w:rPr>
          <w:color w:val="auto"/>
          <w:highlight w:val="none"/>
        </w:rPr>
        <w:t>)</w:t>
      </w:r>
    </w:p>
    <w:p>
      <w:pPr>
        <w:rPr>
          <w:color w:val="auto"/>
          <w:highlight w:val="none"/>
        </w:rPr>
      </w:pPr>
      <w:r>
        <w:rPr>
          <w:color w:val="auto"/>
          <w:highlight w:val="none"/>
        </w:rPr>
        <w:t>式中：</w:t>
      </w:r>
      <w:r>
        <w:rPr>
          <w:rFonts w:hint="eastAsia"/>
          <w:i/>
          <w:color w:val="auto"/>
          <w:highlight w:val="none"/>
        </w:rPr>
        <w:t>e</w:t>
      </w:r>
      <w:r>
        <w:rPr>
          <w:color w:val="auto"/>
          <w:highlight w:val="none"/>
        </w:rPr>
        <w:t xml:space="preserve"> – </w:t>
      </w:r>
      <w:r>
        <w:rPr>
          <w:rFonts w:hint="eastAsia"/>
          <w:color w:val="auto"/>
          <w:highlight w:val="none"/>
        </w:rPr>
        <w:t>基底平面形心与上部结构在永久荷载与楼（屋）面可变荷载准永久组合下的重心偏心距；</w:t>
      </w:r>
    </w:p>
    <w:p>
      <w:pPr>
        <w:ind w:firstLine="630" w:firstLineChars="300"/>
        <w:rPr>
          <w:color w:val="auto"/>
          <w:highlight w:val="none"/>
        </w:rPr>
      </w:pPr>
      <w:r>
        <w:rPr>
          <w:rFonts w:hint="eastAsia"/>
          <w:i/>
          <w:iCs/>
          <w:color w:val="auto"/>
          <w:highlight w:val="none"/>
        </w:rPr>
        <w:t>W</w:t>
      </w:r>
      <w:r>
        <w:rPr>
          <w:color w:val="auto"/>
          <w:highlight w:val="none"/>
        </w:rPr>
        <w:t xml:space="preserve"> –</w:t>
      </w:r>
      <w:r>
        <w:rPr>
          <w:rFonts w:hint="eastAsia"/>
          <w:color w:val="auto"/>
          <w:highlight w:val="none"/>
        </w:rPr>
        <w:t>与偏心方向一致的基础底面抵抗矩；</w:t>
      </w:r>
    </w:p>
    <w:p>
      <w:pPr>
        <w:ind w:firstLine="630" w:firstLineChars="300"/>
        <w:rPr>
          <w:color w:val="auto"/>
          <w:highlight w:val="none"/>
        </w:rPr>
      </w:pPr>
      <w:r>
        <w:rPr>
          <w:rFonts w:hint="eastAsia"/>
          <w:i/>
          <w:color w:val="auto"/>
          <w:highlight w:val="none"/>
        </w:rPr>
        <w:t>A</w:t>
      </w:r>
      <w:r>
        <w:rPr>
          <w:color w:val="auto"/>
          <w:highlight w:val="none"/>
        </w:rPr>
        <w:t xml:space="preserve"> – </w:t>
      </w:r>
      <w:r>
        <w:rPr>
          <w:rFonts w:hint="eastAsia"/>
          <w:color w:val="auto"/>
          <w:highlight w:val="none"/>
        </w:rPr>
        <w:t>基础底面面积。</w:t>
      </w:r>
    </w:p>
    <w:p>
      <w:pPr>
        <w:numPr>
          <w:ilvl w:val="0"/>
          <w:numId w:val="15"/>
        </w:numPr>
        <w:tabs>
          <w:tab w:val="left" w:pos="0"/>
        </w:tabs>
        <w:rPr>
          <w:color w:val="auto"/>
          <w:highlight w:val="none"/>
        </w:rPr>
      </w:pPr>
      <w:r>
        <w:rPr>
          <w:rFonts w:hint="eastAsia"/>
          <w:color w:val="auto"/>
          <w:highlight w:val="none"/>
        </w:rPr>
        <w:t>模块单元支于混凝土上的平板支座时，应验算下</w:t>
      </w:r>
      <w:r>
        <w:rPr>
          <w:rFonts w:hint="eastAsia"/>
          <w:color w:val="auto"/>
          <w:highlight w:val="none"/>
          <w:lang w:eastAsia="zh-CN"/>
        </w:rPr>
        <w:t>部混</w:t>
      </w:r>
      <w:r>
        <w:rPr>
          <w:rFonts w:hint="eastAsia"/>
          <w:color w:val="auto"/>
          <w:highlight w:val="none"/>
        </w:rPr>
        <w:t>凝土的承压强度，底板厚度应根据支座反力对底板产生的弯矩进行计算，且不宜小于12mm。</w:t>
      </w:r>
    </w:p>
    <w:p>
      <w:pPr>
        <w:tabs>
          <w:tab w:val="left" w:pos="0"/>
        </w:tabs>
        <w:rPr>
          <w:color w:val="auto"/>
          <w:highlight w:val="none"/>
        </w:rPr>
      </w:pPr>
    </w:p>
    <w:p>
      <w:pPr>
        <w:ind w:firstLine="420" w:firstLineChars="200"/>
        <w:rPr>
          <w:rFonts w:eastAsia="楷体"/>
          <w:color w:val="auto"/>
          <w:highlight w:val="none"/>
        </w:rPr>
      </w:pPr>
    </w:p>
    <w:p>
      <w:pPr>
        <w:rPr>
          <w:rFonts w:eastAsia="楷体"/>
          <w:color w:val="auto"/>
          <w:highlight w:val="none"/>
        </w:rPr>
        <w:sectPr>
          <w:pgSz w:w="11906" w:h="16838"/>
          <w:pgMar w:top="1610" w:right="1349" w:bottom="1213" w:left="1293" w:header="851" w:footer="992" w:gutter="0"/>
          <w:cols w:space="720" w:num="1"/>
          <w:docGrid w:type="lines" w:linePitch="312" w:charSpace="0"/>
        </w:sectPr>
      </w:pPr>
    </w:p>
    <w:p>
      <w:pPr>
        <w:pStyle w:val="2"/>
        <w:rPr>
          <w:b/>
          <w:bCs w:val="0"/>
          <w:color w:val="auto"/>
          <w:highlight w:val="none"/>
        </w:rPr>
      </w:pPr>
      <w:bookmarkStart w:id="583" w:name="_Toc16943"/>
      <w:bookmarkStart w:id="584" w:name="_Toc27144"/>
      <w:bookmarkStart w:id="585" w:name="_Toc10336"/>
      <w:bookmarkStart w:id="586" w:name="_Toc29626"/>
      <w:bookmarkStart w:id="587" w:name="_Toc22315"/>
      <w:bookmarkStart w:id="588" w:name="_Toc30811"/>
      <w:bookmarkStart w:id="589" w:name="_Toc9683"/>
      <w:bookmarkStart w:id="590" w:name="_Toc11809"/>
      <w:bookmarkStart w:id="591" w:name="_Toc19767"/>
      <w:bookmarkStart w:id="592" w:name="_Toc21472"/>
      <w:bookmarkStart w:id="593" w:name="_Toc9329"/>
      <w:bookmarkStart w:id="594" w:name="_Toc912"/>
      <w:bookmarkStart w:id="595" w:name="_Toc19856"/>
      <w:bookmarkStart w:id="596" w:name="_Toc30351"/>
      <w:bookmarkStart w:id="597" w:name="_Toc8960"/>
      <w:bookmarkStart w:id="598" w:name="_Toc18425"/>
      <w:bookmarkStart w:id="599" w:name="_Toc29280"/>
      <w:bookmarkStart w:id="600" w:name="_Toc8860"/>
      <w:bookmarkStart w:id="601" w:name="_Toc8858"/>
      <w:bookmarkStart w:id="602" w:name="_Toc26046"/>
      <w:bookmarkStart w:id="603" w:name="_Toc23959"/>
      <w:bookmarkStart w:id="604" w:name="_Toc23065"/>
      <w:bookmarkStart w:id="605" w:name="_Toc12431"/>
      <w:bookmarkStart w:id="606" w:name="_Toc1354"/>
      <w:bookmarkStart w:id="607" w:name="_Toc4568"/>
      <w:bookmarkStart w:id="608" w:name="_Toc28064"/>
      <w:bookmarkStart w:id="609" w:name="_Toc24895"/>
      <w:bookmarkStart w:id="610" w:name="_Toc1073"/>
      <w:bookmarkStart w:id="611" w:name="_Toc8131"/>
      <w:bookmarkStart w:id="612" w:name="_Toc16429"/>
      <w:bookmarkStart w:id="613" w:name="_Toc24468"/>
      <w:bookmarkStart w:id="614" w:name="_Toc18608"/>
      <w:bookmarkStart w:id="615" w:name="_Toc6528"/>
      <w:bookmarkStart w:id="616" w:name="_Toc110958485"/>
      <w:bookmarkStart w:id="617" w:name="_Toc110952717"/>
      <w:r>
        <w:rPr>
          <w:rFonts w:hint="eastAsia"/>
          <w:b/>
          <w:bCs w:val="0"/>
          <w:color w:val="auto"/>
          <w:highlight w:val="none"/>
        </w:rPr>
        <w:t>6  设备与管线设计</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pPr>
        <w:pStyle w:val="4"/>
        <w:rPr>
          <w:color w:val="auto"/>
          <w:highlight w:val="none"/>
        </w:rPr>
      </w:pPr>
      <w:bookmarkStart w:id="618" w:name="_Toc17338"/>
      <w:bookmarkStart w:id="619" w:name="_Toc3160"/>
      <w:bookmarkStart w:id="620" w:name="_Toc20766"/>
      <w:bookmarkStart w:id="621" w:name="_Toc3660"/>
      <w:bookmarkStart w:id="622" w:name="_Toc417"/>
      <w:bookmarkStart w:id="623" w:name="_Toc29705"/>
      <w:bookmarkStart w:id="624" w:name="_Toc26665"/>
      <w:bookmarkStart w:id="625" w:name="_Toc25210"/>
      <w:bookmarkStart w:id="626" w:name="_Toc10192"/>
      <w:bookmarkStart w:id="627" w:name="_Toc17239"/>
      <w:bookmarkStart w:id="628" w:name="_Toc10905"/>
      <w:bookmarkStart w:id="629" w:name="_Toc13697"/>
      <w:bookmarkStart w:id="630" w:name="_Toc28550"/>
      <w:bookmarkStart w:id="631" w:name="_Toc3512"/>
      <w:bookmarkStart w:id="632" w:name="_Toc11431"/>
      <w:bookmarkStart w:id="633" w:name="_Toc23608"/>
      <w:bookmarkStart w:id="634" w:name="_Toc14338"/>
      <w:bookmarkStart w:id="635" w:name="_Toc20175"/>
      <w:bookmarkStart w:id="636" w:name="_Toc6030"/>
      <w:bookmarkStart w:id="637" w:name="_Toc477"/>
      <w:bookmarkStart w:id="638" w:name="_Toc15335"/>
      <w:bookmarkStart w:id="639" w:name="_Toc15872"/>
      <w:bookmarkStart w:id="640" w:name="_Toc5693"/>
      <w:bookmarkStart w:id="641" w:name="_Toc31385"/>
      <w:bookmarkStart w:id="642" w:name="_Toc14576"/>
      <w:bookmarkStart w:id="643" w:name="_Toc23966"/>
      <w:bookmarkStart w:id="644" w:name="_Toc22173"/>
      <w:bookmarkStart w:id="645" w:name="_Toc30359"/>
      <w:bookmarkStart w:id="646" w:name="_Toc3396"/>
      <w:bookmarkStart w:id="647" w:name="_Toc8393"/>
      <w:bookmarkStart w:id="648" w:name="_Toc2274"/>
      <w:bookmarkStart w:id="649" w:name="_Toc22771"/>
      <w:bookmarkStart w:id="650" w:name="_Toc8888"/>
      <w:r>
        <w:rPr>
          <w:rFonts w:hint="eastAsia"/>
          <w:b/>
          <w:bCs w:val="0"/>
          <w:color w:val="auto"/>
          <w:highlight w:val="none"/>
        </w:rPr>
        <w:t>6</w:t>
      </w:r>
      <w:r>
        <w:rPr>
          <w:rFonts w:hint="eastAsia" w:ascii="宋体" w:hAnsi="宋体" w:eastAsia="宋体"/>
          <w:b/>
          <w:bCs w:val="0"/>
          <w:color w:val="auto"/>
          <w:szCs w:val="21"/>
          <w:highlight w:val="none"/>
        </w:rPr>
        <w:t>.</w:t>
      </w:r>
      <w:r>
        <w:rPr>
          <w:b/>
          <w:bCs w:val="0"/>
          <w:color w:val="auto"/>
          <w:highlight w:val="none"/>
        </w:rPr>
        <w:t>1</w:t>
      </w:r>
      <w:r>
        <w:rPr>
          <w:rFonts w:hint="eastAsia"/>
          <w:color w:val="auto"/>
          <w:highlight w:val="none"/>
        </w:rPr>
        <w:t xml:space="preserve">  一般规定</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p>
      <w:pPr>
        <w:numPr>
          <w:ilvl w:val="0"/>
          <w:numId w:val="16"/>
        </w:numPr>
        <w:rPr>
          <w:color w:val="auto"/>
          <w:highlight w:val="none"/>
        </w:rPr>
      </w:pPr>
      <w:r>
        <w:rPr>
          <w:rFonts w:hint="eastAsia"/>
          <w:color w:val="auto"/>
          <w:highlight w:val="none"/>
        </w:rPr>
        <w:t>混凝土模块化建筑的机电设计应符合国家现行标准《建筑节能与可再生能源利用通用规范》GB 55015、《消防设施通用规范》GB 55036、《建筑内部装修设计防火规范》GB 50222、《民用建筑工程室内环境污染控制标准》GB 50325、《民用建筑隔声设计规范》GB 50118和《住宅室内装饰装修设计规范》JGJ 367及上海市地方标准《全装修住宅室内装修设计标准》DG/TJ 08-2178的有关规定。</w:t>
      </w:r>
    </w:p>
    <w:p>
      <w:pPr>
        <w:numPr>
          <w:ilvl w:val="0"/>
          <w:numId w:val="16"/>
        </w:numPr>
        <w:rPr>
          <w:color w:val="auto"/>
          <w:highlight w:val="none"/>
        </w:rPr>
      </w:pPr>
      <w:r>
        <w:rPr>
          <w:rFonts w:hint="eastAsia"/>
          <w:color w:val="auto"/>
          <w:highlight w:val="none"/>
        </w:rPr>
        <w:t>混凝土模块化建筑的机电系统的抗震设计应符合现行国家标准《建筑与市政工程抗震通用规范》GB 55002和《建筑机电工程抗震设计规范》GB 50981的有关规定。</w:t>
      </w:r>
    </w:p>
    <w:p>
      <w:pPr>
        <w:numPr>
          <w:ilvl w:val="0"/>
          <w:numId w:val="16"/>
        </w:numPr>
        <w:rPr>
          <w:color w:val="auto"/>
          <w:highlight w:val="none"/>
        </w:rPr>
      </w:pPr>
      <w:r>
        <w:rPr>
          <w:rFonts w:hint="eastAsia"/>
          <w:color w:val="auto"/>
          <w:highlight w:val="none"/>
        </w:rPr>
        <w:t>混凝土模块化建筑的机电设计应符合下列规定：</w:t>
      </w:r>
    </w:p>
    <w:p>
      <w:pPr>
        <w:tabs>
          <w:tab w:val="left" w:pos="0"/>
        </w:tabs>
        <w:ind w:firstLine="440" w:firstLineChars="200"/>
        <w:rPr>
          <w:color w:val="auto"/>
          <w:highlight w:val="none"/>
        </w:rPr>
      </w:pPr>
      <w:r>
        <w:rPr>
          <w:b/>
          <w:bCs/>
          <w:color w:val="auto"/>
          <w:highlight w:val="none"/>
        </w:rPr>
        <w:t>1</w:t>
      </w:r>
      <w:r>
        <w:rPr>
          <w:rFonts w:hint="eastAsia"/>
          <w:color w:val="auto"/>
          <w:highlight w:val="none"/>
        </w:rPr>
        <w:t xml:space="preserve">  应与建筑设计、结构设计等专业同步进行，并应满足标准化设计、集成化安装的要求；</w:t>
      </w:r>
    </w:p>
    <w:p>
      <w:pPr>
        <w:tabs>
          <w:tab w:val="left" w:pos="0"/>
        </w:tabs>
        <w:ind w:firstLine="441"/>
        <w:rPr>
          <w:color w:val="auto"/>
          <w:highlight w:val="none"/>
        </w:rPr>
      </w:pPr>
      <w:r>
        <w:rPr>
          <w:b/>
          <w:bCs/>
          <w:color w:val="auto"/>
          <w:highlight w:val="none"/>
        </w:rPr>
        <w:t>2</w:t>
      </w:r>
      <w:r>
        <w:rPr>
          <w:rFonts w:hint="eastAsia"/>
          <w:color w:val="auto"/>
          <w:highlight w:val="none"/>
        </w:rPr>
        <w:t xml:space="preserve">  宜与装饰装修设计同步进行，当无法同步进行时，应考虑现浇区域管线和设备的预留预埋；</w:t>
      </w:r>
    </w:p>
    <w:p>
      <w:pPr>
        <w:tabs>
          <w:tab w:val="left" w:pos="0"/>
        </w:tabs>
        <w:ind w:firstLine="441"/>
        <w:rPr>
          <w:color w:val="auto"/>
          <w:highlight w:val="none"/>
        </w:rPr>
      </w:pPr>
      <w:r>
        <w:rPr>
          <w:b/>
          <w:bCs/>
          <w:color w:val="auto"/>
          <w:highlight w:val="none"/>
        </w:rPr>
        <w:t>3</w:t>
      </w:r>
      <w:r>
        <w:rPr>
          <w:rFonts w:hint="eastAsia"/>
          <w:color w:val="auto"/>
          <w:highlight w:val="none"/>
        </w:rPr>
        <w:t xml:space="preserve">  除必须暗敷的机电管线外，其余机电设备与管线，宜与主体结构相分离。</w:t>
      </w:r>
    </w:p>
    <w:p>
      <w:pPr>
        <w:pStyle w:val="47"/>
        <w:numPr>
          <w:ilvl w:val="0"/>
          <w:numId w:val="16"/>
        </w:numPr>
        <w:tabs>
          <w:tab w:val="clear" w:pos="0"/>
        </w:tabs>
        <w:ind w:firstLineChars="0"/>
        <w:rPr>
          <w:color w:val="auto"/>
          <w:highlight w:val="none"/>
        </w:rPr>
      </w:pPr>
      <w:r>
        <w:rPr>
          <w:rFonts w:hint="eastAsia"/>
          <w:color w:val="auto"/>
          <w:highlight w:val="none"/>
        </w:rPr>
        <w:t>混凝土模块化建筑的机电系统配置应符合上海市气候条件，符合上海市建筑设计节能规定。可再生能源综合利用量和光伏安装比例应当符合本市相关规定。</w:t>
      </w:r>
    </w:p>
    <w:p>
      <w:pPr>
        <w:numPr>
          <w:ilvl w:val="0"/>
          <w:numId w:val="16"/>
        </w:numPr>
        <w:rPr>
          <w:color w:val="auto"/>
          <w:highlight w:val="none"/>
        </w:rPr>
      </w:pPr>
      <w:r>
        <w:rPr>
          <w:rFonts w:hint="eastAsia"/>
          <w:color w:val="auto"/>
          <w:highlight w:val="none"/>
        </w:rPr>
        <w:t>混凝土模块化建筑的机电设备及管线的连接应选用耐腐蚀、抗老化、连接可靠的管线及设备，并宜采用统一的标准化接口。</w:t>
      </w:r>
    </w:p>
    <w:p>
      <w:pPr>
        <w:numPr>
          <w:ilvl w:val="0"/>
          <w:numId w:val="16"/>
        </w:numPr>
        <w:tabs>
          <w:tab w:val="clear" w:pos="0"/>
        </w:tabs>
        <w:ind w:left="440" w:hanging="440"/>
        <w:rPr>
          <w:color w:val="auto"/>
          <w:highlight w:val="none"/>
        </w:rPr>
      </w:pPr>
      <w:r>
        <w:rPr>
          <w:rFonts w:hint="eastAsia"/>
          <w:color w:val="auto"/>
          <w:highlight w:val="none"/>
        </w:rPr>
        <w:t>设备管线的布置应符合下列规定：</w:t>
      </w:r>
    </w:p>
    <w:p>
      <w:pPr>
        <w:tabs>
          <w:tab w:val="left" w:pos="0"/>
        </w:tabs>
        <w:ind w:firstLine="440" w:firstLineChars="200"/>
        <w:rPr>
          <w:color w:val="auto"/>
          <w:highlight w:val="none"/>
        </w:rPr>
      </w:pPr>
      <w:r>
        <w:rPr>
          <w:rFonts w:hint="eastAsia"/>
          <w:b/>
          <w:bCs/>
          <w:color w:val="auto"/>
          <w:highlight w:val="none"/>
        </w:rPr>
        <w:t>1</w:t>
      </w:r>
      <w:r>
        <w:rPr>
          <w:rFonts w:hint="eastAsia"/>
          <w:color w:val="auto"/>
          <w:highlight w:val="none"/>
        </w:rPr>
        <w:t xml:space="preserve">  模块单元在工厂进行预制时，模块内的空调及暖通、给水排水、电气设备与管线等宜在工厂内完成预制且与内装一体化综合设计、集中设置、减少平面交叉；</w:t>
      </w:r>
    </w:p>
    <w:p>
      <w:pPr>
        <w:tabs>
          <w:tab w:val="left" w:pos="0"/>
        </w:tabs>
        <w:ind w:firstLine="440" w:firstLineChars="200"/>
        <w:rPr>
          <w:color w:val="auto"/>
          <w:highlight w:val="none"/>
        </w:rPr>
      </w:pPr>
      <w:r>
        <w:rPr>
          <w:rFonts w:hint="eastAsia"/>
          <w:b/>
          <w:bCs/>
          <w:color w:val="auto"/>
          <w:highlight w:val="none"/>
        </w:rPr>
        <w:t>2</w:t>
      </w:r>
      <w:r>
        <w:rPr>
          <w:rFonts w:hint="eastAsia"/>
          <w:color w:val="auto"/>
          <w:highlight w:val="none"/>
        </w:rPr>
        <w:t xml:space="preserve">  管线宜采用同层布置，且宜利用公共区域的空间布置管线；</w:t>
      </w:r>
    </w:p>
    <w:p>
      <w:pPr>
        <w:tabs>
          <w:tab w:val="left" w:pos="0"/>
        </w:tabs>
        <w:ind w:firstLine="440" w:firstLineChars="200"/>
        <w:rPr>
          <w:color w:val="auto"/>
          <w:highlight w:val="none"/>
        </w:rPr>
      </w:pPr>
      <w:r>
        <w:rPr>
          <w:rFonts w:hint="eastAsia"/>
          <w:b/>
          <w:bCs/>
          <w:color w:val="auto"/>
          <w:highlight w:val="none"/>
        </w:rPr>
        <w:t>3</w:t>
      </w:r>
      <w:r>
        <w:rPr>
          <w:rFonts w:hint="eastAsia"/>
          <w:color w:val="auto"/>
          <w:highlight w:val="none"/>
        </w:rPr>
        <w:t xml:space="preserve">  竖向管线宜集中布置在供上下层、多系统管线连接的管道井内，应减少上下模块间的管线竖向连接，并按国家现行有关标准要求设计隔断和保护；</w:t>
      </w:r>
    </w:p>
    <w:p>
      <w:pPr>
        <w:pStyle w:val="47"/>
        <w:ind w:firstLine="443"/>
        <w:rPr>
          <w:color w:val="auto"/>
          <w:highlight w:val="none"/>
        </w:rPr>
      </w:pPr>
      <w:r>
        <w:rPr>
          <w:rFonts w:hint="eastAsia"/>
          <w:b/>
          <w:bCs/>
          <w:color w:val="auto"/>
          <w:highlight w:val="none"/>
        </w:rPr>
        <w:t>4</w:t>
      </w:r>
      <w:r>
        <w:rPr>
          <w:rFonts w:hint="eastAsia"/>
          <w:color w:val="auto"/>
          <w:highlight w:val="none"/>
        </w:rPr>
        <w:t xml:space="preserve">  应尽量减少模块之间管线的水平连接；无法避免时，应结合内装设计预留对接槽口，并采用柔性连接，以适应模块单元之间的相对移动；</w:t>
      </w:r>
    </w:p>
    <w:p>
      <w:pPr>
        <w:ind w:firstLine="440" w:firstLineChars="200"/>
        <w:rPr>
          <w:color w:val="auto"/>
          <w:highlight w:val="none"/>
        </w:rPr>
      </w:pPr>
      <w:r>
        <w:rPr>
          <w:rFonts w:hint="eastAsia"/>
          <w:b/>
          <w:color w:val="auto"/>
          <w:highlight w:val="none"/>
        </w:rPr>
        <w:t>5</w:t>
      </w:r>
      <w:r>
        <w:rPr>
          <w:color w:val="auto"/>
          <w:highlight w:val="none"/>
        </w:rPr>
        <w:t xml:space="preserve">  </w:t>
      </w:r>
      <w:r>
        <w:rPr>
          <w:rFonts w:hint="eastAsia"/>
          <w:color w:val="auto"/>
          <w:highlight w:val="none"/>
        </w:rPr>
        <w:t>当工厂内安装的管道、设备固定在模壳板上时，所选固定件不宜穿透模壳板；</w:t>
      </w:r>
    </w:p>
    <w:p>
      <w:pPr>
        <w:ind w:firstLine="440" w:firstLineChars="200"/>
        <w:rPr>
          <w:color w:val="auto"/>
          <w:highlight w:val="none"/>
        </w:rPr>
      </w:pPr>
      <w:r>
        <w:rPr>
          <w:rFonts w:hint="eastAsia"/>
          <w:b/>
          <w:color w:val="auto"/>
          <w:highlight w:val="none"/>
        </w:rPr>
        <w:t>6</w:t>
      </w:r>
      <w:r>
        <w:rPr>
          <w:color w:val="auto"/>
          <w:highlight w:val="none"/>
        </w:rPr>
        <w:t xml:space="preserve">  </w:t>
      </w:r>
      <w:r>
        <w:rPr>
          <w:rFonts w:hint="eastAsia"/>
          <w:color w:val="auto"/>
          <w:highlight w:val="none"/>
        </w:rPr>
        <w:t>当设备管线穿越预制楼板或预制墙体时，应在工厂预制阶段设置相应套管或孔洞，不应在模块单元安装后现场开设；</w:t>
      </w:r>
    </w:p>
    <w:p>
      <w:pPr>
        <w:ind w:firstLine="420"/>
        <w:rPr>
          <w:color w:val="auto"/>
          <w:highlight w:val="none"/>
        </w:rPr>
      </w:pPr>
      <w:r>
        <w:rPr>
          <w:rFonts w:hint="eastAsia"/>
          <w:b/>
          <w:bCs/>
          <w:color w:val="auto"/>
          <w:highlight w:val="none"/>
        </w:rPr>
        <w:t>7</w:t>
      </w:r>
      <w:r>
        <w:rPr>
          <w:rFonts w:hint="eastAsia"/>
          <w:b/>
          <w:color w:val="auto"/>
          <w:highlight w:val="none"/>
        </w:rPr>
        <w:t xml:space="preserve">  </w:t>
      </w:r>
      <w:bookmarkStart w:id="651" w:name="_Hlk191388253"/>
      <w:r>
        <w:rPr>
          <w:rFonts w:hint="eastAsia"/>
          <w:color w:val="auto"/>
          <w:highlight w:val="none"/>
        </w:rPr>
        <w:t>预装于模块外侧的管线，应采取相应的防水、防腐、防结露和防撞击的防护措施；</w:t>
      </w:r>
    </w:p>
    <w:p>
      <w:pPr>
        <w:ind w:firstLine="440" w:firstLineChars="200"/>
        <w:rPr>
          <w:bCs/>
          <w:color w:val="auto"/>
          <w:highlight w:val="none"/>
        </w:rPr>
      </w:pPr>
      <w:r>
        <w:rPr>
          <w:b/>
          <w:bCs/>
          <w:color w:val="auto"/>
          <w:highlight w:val="none"/>
        </w:rPr>
        <w:t>8</w:t>
      </w:r>
      <w:r>
        <w:rPr>
          <w:rFonts w:hint="eastAsia"/>
          <w:bCs/>
          <w:color w:val="auto"/>
          <w:highlight w:val="none"/>
        </w:rPr>
        <w:t xml:space="preserve">  当设备、管线穿越楼板、墙体时，应采取防水、防火、隔声、密封、保温隔热、防位移等措施，</w:t>
      </w:r>
      <w:bookmarkEnd w:id="651"/>
      <w:r>
        <w:rPr>
          <w:rFonts w:hint="eastAsia"/>
          <w:bCs/>
          <w:color w:val="auto"/>
          <w:highlight w:val="none"/>
        </w:rPr>
        <w:t>防火封堵应符合现行国家标准《建筑防火通用规范》GB 55037和《建筑防火封堵应用技术标准》GB/T 51410的有关规定。</w:t>
      </w:r>
    </w:p>
    <w:p>
      <w:pPr>
        <w:pStyle w:val="47"/>
        <w:numPr>
          <w:ilvl w:val="0"/>
          <w:numId w:val="16"/>
        </w:numPr>
        <w:ind w:firstLineChars="0"/>
        <w:rPr>
          <w:color w:val="auto"/>
          <w:highlight w:val="none"/>
        </w:rPr>
      </w:pPr>
      <w:r>
        <w:rPr>
          <w:rFonts w:hint="eastAsia"/>
          <w:color w:val="auto"/>
          <w:highlight w:val="none"/>
        </w:rPr>
        <w:t>公共管线、阀门、检修配件、计量仪表、电表箱、配电箱、弱电箱等宜设置在公共区域，且应满足操作及检修的空间要求。</w:t>
      </w:r>
    </w:p>
    <w:p>
      <w:pPr>
        <w:numPr>
          <w:ilvl w:val="0"/>
          <w:numId w:val="16"/>
        </w:numPr>
        <w:tabs>
          <w:tab w:val="clear" w:pos="0"/>
        </w:tabs>
        <w:rPr>
          <w:color w:val="auto"/>
          <w:highlight w:val="none"/>
        </w:rPr>
      </w:pPr>
      <w:r>
        <w:rPr>
          <w:rFonts w:hint="eastAsia"/>
          <w:color w:val="auto"/>
          <w:highlight w:val="none"/>
        </w:rPr>
        <w:t>混凝土模块化建筑的设备管线系统应采用建筑信息模型技术。</w:t>
      </w:r>
    </w:p>
    <w:p>
      <w:pPr>
        <w:numPr>
          <w:ilvl w:val="0"/>
          <w:numId w:val="16"/>
        </w:numPr>
        <w:rPr>
          <w:color w:val="auto"/>
          <w:highlight w:val="none"/>
        </w:rPr>
      </w:pPr>
      <w:r>
        <w:rPr>
          <w:rFonts w:hint="eastAsia"/>
          <w:color w:val="auto"/>
          <w:highlight w:val="none"/>
        </w:rPr>
        <w:t>水电暖设备以及管线的安装和测试都应在连接成一个整体后进行。混凝土模块化建筑结构与管线的连接点应采用牢固、耐震的连接方式。</w:t>
      </w:r>
    </w:p>
    <w:p>
      <w:pPr>
        <w:pStyle w:val="4"/>
        <w:rPr>
          <w:color w:val="auto"/>
          <w:highlight w:val="none"/>
        </w:rPr>
      </w:pPr>
      <w:bookmarkStart w:id="652" w:name="_Toc23836"/>
      <w:bookmarkStart w:id="653" w:name="_Toc18572"/>
      <w:bookmarkStart w:id="654" w:name="_Toc4709"/>
      <w:bookmarkStart w:id="655" w:name="_Toc13912"/>
      <w:bookmarkStart w:id="656" w:name="_Toc19056"/>
      <w:bookmarkStart w:id="657" w:name="_Toc17870"/>
      <w:bookmarkStart w:id="658" w:name="_Toc10754"/>
      <w:bookmarkStart w:id="659" w:name="_Toc11750"/>
      <w:bookmarkStart w:id="660" w:name="_Toc24180"/>
      <w:bookmarkStart w:id="661" w:name="_Toc28172"/>
      <w:bookmarkStart w:id="662" w:name="_Toc22065"/>
      <w:bookmarkStart w:id="663" w:name="_Toc13616"/>
      <w:bookmarkStart w:id="664" w:name="_Toc13838"/>
      <w:bookmarkStart w:id="665" w:name="_Toc22637"/>
      <w:bookmarkStart w:id="666" w:name="_Toc10327"/>
      <w:bookmarkStart w:id="667" w:name="_Toc2700"/>
      <w:bookmarkStart w:id="668" w:name="_Toc6520"/>
      <w:bookmarkStart w:id="669" w:name="_Toc27342"/>
      <w:bookmarkStart w:id="670" w:name="_Toc3931"/>
      <w:bookmarkStart w:id="671" w:name="_Toc22580"/>
      <w:bookmarkStart w:id="672" w:name="_Toc18898"/>
      <w:bookmarkStart w:id="673" w:name="_Toc9180"/>
      <w:bookmarkStart w:id="674" w:name="_Toc1620"/>
      <w:bookmarkStart w:id="675" w:name="_Toc23182"/>
      <w:bookmarkStart w:id="676" w:name="_Toc17319"/>
      <w:bookmarkStart w:id="677" w:name="_Toc4808"/>
      <w:bookmarkStart w:id="678" w:name="_Toc20931"/>
      <w:bookmarkStart w:id="679" w:name="_Toc12870"/>
      <w:bookmarkStart w:id="680" w:name="_Toc28112"/>
      <w:bookmarkStart w:id="681" w:name="_Toc6554"/>
      <w:bookmarkStart w:id="682" w:name="_Toc15621"/>
      <w:bookmarkStart w:id="683" w:name="_Toc3126"/>
      <w:bookmarkStart w:id="684" w:name="_Toc17272"/>
      <w:r>
        <w:rPr>
          <w:rFonts w:hint="eastAsia"/>
          <w:b/>
          <w:bCs w:val="0"/>
          <w:color w:val="auto"/>
          <w:highlight w:val="none"/>
        </w:rPr>
        <w:t>6</w:t>
      </w:r>
      <w:r>
        <w:rPr>
          <w:rFonts w:hint="eastAsia" w:ascii="宋体" w:hAnsi="宋体" w:eastAsia="宋体"/>
          <w:color w:val="auto"/>
          <w:szCs w:val="21"/>
          <w:highlight w:val="none"/>
        </w:rPr>
        <w:t>.</w:t>
      </w:r>
      <w:r>
        <w:rPr>
          <w:b/>
          <w:bCs w:val="0"/>
          <w:color w:val="auto"/>
          <w:highlight w:val="none"/>
        </w:rPr>
        <w:t>2</w:t>
      </w:r>
      <w:r>
        <w:rPr>
          <w:rFonts w:hint="eastAsia"/>
          <w:color w:val="auto"/>
          <w:highlight w:val="none"/>
        </w:rPr>
        <w:t xml:space="preserve">  给水排水系统</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
      <w:pPr>
        <w:numPr>
          <w:ilvl w:val="0"/>
          <w:numId w:val="17"/>
        </w:numPr>
        <w:rPr>
          <w:color w:val="auto"/>
          <w:highlight w:val="none"/>
        </w:rPr>
      </w:pPr>
      <w:r>
        <w:rPr>
          <w:rFonts w:hint="eastAsia"/>
          <w:color w:val="auto"/>
          <w:highlight w:val="none"/>
        </w:rPr>
        <w:t>混凝土模块化建筑给水排水系统设计应符合现行国家标准《建筑给水排水与节水通用规范》GB 55020和《建筑给水排水设计标准》GB</w:t>
      </w:r>
      <w:r>
        <w:rPr>
          <w:color w:val="auto"/>
          <w:highlight w:val="none"/>
        </w:rPr>
        <w:t xml:space="preserve"> </w:t>
      </w:r>
      <w:r>
        <w:rPr>
          <w:rFonts w:hint="eastAsia"/>
          <w:color w:val="auto"/>
          <w:highlight w:val="none"/>
        </w:rPr>
        <w:t>50015的有关规定。</w:t>
      </w:r>
    </w:p>
    <w:p>
      <w:pPr>
        <w:numPr>
          <w:ilvl w:val="0"/>
          <w:numId w:val="17"/>
        </w:numPr>
        <w:rPr>
          <w:color w:val="auto"/>
          <w:highlight w:val="none"/>
        </w:rPr>
      </w:pPr>
      <w:r>
        <w:rPr>
          <w:rFonts w:hint="eastAsia"/>
          <w:color w:val="auto"/>
          <w:highlight w:val="none"/>
        </w:rPr>
        <w:t>给水系统应符合下列规定：</w:t>
      </w:r>
    </w:p>
    <w:p>
      <w:pPr>
        <w:tabs>
          <w:tab w:val="left" w:pos="0"/>
        </w:tabs>
        <w:ind w:firstLine="440" w:firstLineChars="200"/>
        <w:rPr>
          <w:color w:val="auto"/>
          <w:highlight w:val="none"/>
        </w:rPr>
      </w:pPr>
      <w:r>
        <w:rPr>
          <w:rFonts w:hint="eastAsia"/>
          <w:b/>
          <w:bCs/>
          <w:color w:val="auto"/>
          <w:highlight w:val="none"/>
        </w:rPr>
        <w:t>1</w:t>
      </w:r>
      <w:r>
        <w:rPr>
          <w:rFonts w:hint="eastAsia"/>
          <w:color w:val="auto"/>
          <w:highlight w:val="none"/>
        </w:rPr>
        <w:t xml:space="preserve">  宜采用预制的集成式厨房与集成式卫浴，设备及管道应在安装完成后进行水压试验。</w:t>
      </w:r>
    </w:p>
    <w:p>
      <w:pPr>
        <w:tabs>
          <w:tab w:val="left" w:pos="0"/>
        </w:tabs>
        <w:ind w:firstLine="440" w:firstLineChars="200"/>
        <w:rPr>
          <w:color w:val="auto"/>
          <w:highlight w:val="none"/>
        </w:rPr>
      </w:pPr>
      <w:r>
        <w:rPr>
          <w:rFonts w:hint="eastAsia"/>
          <w:b/>
          <w:bCs/>
          <w:color w:val="auto"/>
          <w:highlight w:val="none"/>
        </w:rPr>
        <w:t>2</w:t>
      </w:r>
      <w:r>
        <w:rPr>
          <w:rFonts w:hint="eastAsia"/>
          <w:color w:val="auto"/>
          <w:highlight w:val="none"/>
        </w:rPr>
        <w:t xml:space="preserve">  混凝土模块化建筑室内给水横管宜结合室内装修在吊顶内敷设，吊顶内的阀门、模块单元之间管道连接接头处应设置可拆卸吊顶；</w:t>
      </w:r>
    </w:p>
    <w:p>
      <w:pPr>
        <w:tabs>
          <w:tab w:val="left" w:pos="0"/>
        </w:tabs>
        <w:ind w:firstLine="440" w:firstLineChars="200"/>
        <w:rPr>
          <w:color w:val="auto"/>
          <w:highlight w:val="none"/>
        </w:rPr>
      </w:pPr>
      <w:r>
        <w:rPr>
          <w:rFonts w:hint="eastAsia"/>
          <w:b/>
          <w:bCs/>
          <w:color w:val="auto"/>
          <w:highlight w:val="none"/>
        </w:rPr>
        <w:t>3</w:t>
      </w:r>
      <w:r>
        <w:rPr>
          <w:rFonts w:hint="eastAsia"/>
          <w:color w:val="auto"/>
          <w:highlight w:val="none"/>
        </w:rPr>
        <w:t xml:space="preserve">  暗敷在墙槽中的给水支管应结合墙体厚度及装饰做法预留管槽；</w:t>
      </w:r>
    </w:p>
    <w:p>
      <w:pPr>
        <w:tabs>
          <w:tab w:val="left" w:pos="0"/>
        </w:tabs>
        <w:ind w:firstLine="440" w:firstLineChars="200"/>
        <w:rPr>
          <w:color w:val="auto"/>
          <w:highlight w:val="none"/>
        </w:rPr>
      </w:pPr>
      <w:r>
        <w:rPr>
          <w:rFonts w:hint="eastAsia"/>
          <w:b/>
          <w:bCs/>
          <w:color w:val="auto"/>
          <w:highlight w:val="none"/>
        </w:rPr>
        <w:t>4</w:t>
      </w:r>
      <w:r>
        <w:rPr>
          <w:rFonts w:hint="eastAsia"/>
          <w:color w:val="auto"/>
          <w:highlight w:val="none"/>
        </w:rPr>
        <w:t xml:space="preserve">  模块单元内设置给水分水器时，分水器与用水器具的管道应一对一连接，管道中间不应出现机械式接口，并宜采用装配式的管线及其配件连接；给水分水器设置位置应有排水措施，并便于检修；</w:t>
      </w:r>
    </w:p>
    <w:p>
      <w:pPr>
        <w:ind w:firstLine="440" w:firstLineChars="200"/>
        <w:rPr>
          <w:color w:val="auto"/>
          <w:highlight w:val="none"/>
        </w:rPr>
      </w:pPr>
      <w:r>
        <w:rPr>
          <w:rFonts w:hint="eastAsia"/>
          <w:b/>
          <w:bCs/>
          <w:color w:val="auto"/>
          <w:highlight w:val="none"/>
        </w:rPr>
        <w:t>5</w:t>
      </w:r>
      <w:r>
        <w:rPr>
          <w:rFonts w:hint="eastAsia"/>
          <w:color w:val="auto"/>
          <w:highlight w:val="none"/>
        </w:rPr>
        <w:t xml:space="preserve">  给水管道穿越混凝土梁模时，应在梁模上预留钢套管，预留钢套管定位应满足钢筋笼吊装、安装的要求。</w:t>
      </w:r>
    </w:p>
    <w:p>
      <w:pPr>
        <w:numPr>
          <w:ilvl w:val="0"/>
          <w:numId w:val="17"/>
        </w:numPr>
        <w:rPr>
          <w:color w:val="auto"/>
          <w:highlight w:val="none"/>
        </w:rPr>
      </w:pPr>
      <w:r>
        <w:rPr>
          <w:rFonts w:hint="eastAsia"/>
          <w:color w:val="auto"/>
          <w:highlight w:val="none"/>
        </w:rPr>
        <w:t>排水设计应符合下列规定：</w:t>
      </w:r>
    </w:p>
    <w:p>
      <w:pPr>
        <w:ind w:firstLine="440" w:firstLineChars="200"/>
        <w:rPr>
          <w:bCs/>
          <w:color w:val="auto"/>
          <w:highlight w:val="none"/>
        </w:rPr>
      </w:pPr>
      <w:r>
        <w:rPr>
          <w:rFonts w:hint="eastAsia"/>
          <w:b/>
          <w:color w:val="auto"/>
          <w:highlight w:val="none"/>
        </w:rPr>
        <w:t>1</w:t>
      </w:r>
      <w:r>
        <w:rPr>
          <w:rFonts w:hint="eastAsia"/>
          <w:bCs/>
          <w:color w:val="auto"/>
          <w:highlight w:val="none"/>
        </w:rPr>
        <w:t xml:space="preserve">  卫生间宜采用同层排水技术；</w:t>
      </w:r>
    </w:p>
    <w:p>
      <w:pPr>
        <w:ind w:firstLine="440" w:firstLineChars="200"/>
        <w:rPr>
          <w:bCs/>
          <w:color w:val="auto"/>
          <w:highlight w:val="none"/>
        </w:rPr>
      </w:pPr>
      <w:r>
        <w:rPr>
          <w:rFonts w:hint="eastAsia"/>
          <w:b/>
          <w:color w:val="auto"/>
          <w:highlight w:val="none"/>
        </w:rPr>
        <w:t>2</w:t>
      </w:r>
      <w:r>
        <w:rPr>
          <w:rFonts w:hint="eastAsia"/>
          <w:bCs/>
          <w:color w:val="auto"/>
          <w:highlight w:val="none"/>
        </w:rPr>
        <w:t xml:space="preserve">  排水立管设置位置应方便上下层管道的安装和检修，采用新型快速连接配件时，应有可靠的技术措施；</w:t>
      </w:r>
    </w:p>
    <w:p>
      <w:pPr>
        <w:ind w:firstLine="440" w:firstLineChars="200"/>
        <w:rPr>
          <w:bCs/>
          <w:color w:val="auto"/>
          <w:highlight w:val="none"/>
        </w:rPr>
      </w:pPr>
      <w:r>
        <w:rPr>
          <w:rFonts w:hint="eastAsia"/>
          <w:b/>
          <w:color w:val="auto"/>
          <w:highlight w:val="none"/>
        </w:rPr>
        <w:t>3</w:t>
      </w:r>
      <w:r>
        <w:rPr>
          <w:rFonts w:hint="eastAsia"/>
          <w:bCs/>
          <w:color w:val="auto"/>
          <w:highlight w:val="none"/>
        </w:rPr>
        <w:t xml:space="preserve">  卫生间模块单元排水支管水平穿墙模时，应预留防水钢套管，接管方式应满足现场施工工序的要求；</w:t>
      </w:r>
    </w:p>
    <w:p>
      <w:pPr>
        <w:ind w:firstLine="440" w:firstLineChars="200"/>
        <w:rPr>
          <w:bCs/>
          <w:color w:val="auto"/>
          <w:highlight w:val="none"/>
        </w:rPr>
      </w:pPr>
      <w:r>
        <w:rPr>
          <w:rFonts w:hint="eastAsia"/>
          <w:b/>
          <w:color w:val="auto"/>
          <w:highlight w:val="none"/>
        </w:rPr>
        <w:t>4</w:t>
      </w:r>
      <w:r>
        <w:rPr>
          <w:rFonts w:hint="eastAsia"/>
          <w:bCs/>
          <w:color w:val="auto"/>
          <w:highlight w:val="none"/>
        </w:rPr>
        <w:t xml:space="preserve">  模块化建筑在层间拼缝处设置隔音垫层时，不应阻隔层间排水通道。</w:t>
      </w:r>
    </w:p>
    <w:p>
      <w:pPr>
        <w:pStyle w:val="4"/>
        <w:ind w:left="190" w:firstLine="440" w:firstLineChars="200"/>
        <w:rPr>
          <w:color w:val="auto"/>
          <w:highlight w:val="none"/>
        </w:rPr>
      </w:pPr>
      <w:bookmarkStart w:id="685" w:name="_Toc6345"/>
      <w:bookmarkStart w:id="686" w:name="_Toc32376"/>
      <w:bookmarkStart w:id="687" w:name="_Toc15965"/>
      <w:bookmarkStart w:id="688" w:name="_Toc21326"/>
      <w:bookmarkStart w:id="689" w:name="_Toc8645"/>
      <w:bookmarkStart w:id="690" w:name="_Toc26868"/>
      <w:bookmarkStart w:id="691" w:name="_Toc26651"/>
      <w:bookmarkStart w:id="692" w:name="_Toc17838"/>
      <w:bookmarkStart w:id="693" w:name="_Toc30665"/>
      <w:bookmarkStart w:id="694" w:name="_Toc29035"/>
      <w:bookmarkStart w:id="695" w:name="_Toc26101"/>
      <w:bookmarkStart w:id="696" w:name="_Toc32381"/>
      <w:bookmarkStart w:id="697" w:name="_Toc18249"/>
      <w:bookmarkStart w:id="698" w:name="_Toc24766"/>
      <w:bookmarkStart w:id="699" w:name="_Toc2800"/>
      <w:bookmarkStart w:id="700" w:name="_Toc8410"/>
      <w:bookmarkStart w:id="701" w:name="_Toc8311"/>
      <w:bookmarkStart w:id="702" w:name="_Toc17303"/>
      <w:bookmarkStart w:id="703" w:name="_Toc16227"/>
      <w:bookmarkStart w:id="704" w:name="_Toc22901"/>
      <w:bookmarkStart w:id="705" w:name="_Toc2111"/>
      <w:bookmarkStart w:id="706" w:name="_Toc28499"/>
      <w:bookmarkStart w:id="707" w:name="_Toc5794"/>
      <w:bookmarkStart w:id="708" w:name="_Toc28028"/>
      <w:bookmarkStart w:id="709" w:name="_Toc29357"/>
      <w:bookmarkStart w:id="710" w:name="_Toc18295"/>
      <w:bookmarkStart w:id="711" w:name="_Toc12990"/>
      <w:bookmarkStart w:id="712" w:name="_Toc898"/>
      <w:bookmarkStart w:id="713" w:name="_Toc26436"/>
      <w:bookmarkStart w:id="714" w:name="_Toc12673"/>
      <w:bookmarkStart w:id="715" w:name="_Toc11785"/>
      <w:bookmarkStart w:id="716" w:name="_Toc13157"/>
      <w:bookmarkStart w:id="717" w:name="_Toc28922"/>
      <w:r>
        <w:rPr>
          <w:rFonts w:hint="eastAsia"/>
          <w:b/>
          <w:bCs w:val="0"/>
          <w:color w:val="auto"/>
          <w:highlight w:val="none"/>
        </w:rPr>
        <w:t>6</w:t>
      </w:r>
      <w:r>
        <w:rPr>
          <w:rFonts w:hint="eastAsia" w:ascii="宋体" w:hAnsi="宋体" w:eastAsia="宋体"/>
          <w:b/>
          <w:bCs w:val="0"/>
          <w:color w:val="auto"/>
          <w:szCs w:val="21"/>
          <w:highlight w:val="none"/>
        </w:rPr>
        <w:t>.</w:t>
      </w:r>
      <w:r>
        <w:rPr>
          <w:b/>
          <w:bCs w:val="0"/>
          <w:color w:val="auto"/>
          <w:highlight w:val="none"/>
        </w:rPr>
        <w:t>3</w:t>
      </w:r>
      <w:r>
        <w:rPr>
          <w:rFonts w:hint="eastAsia"/>
          <w:color w:val="auto"/>
          <w:highlight w:val="none"/>
        </w:rPr>
        <w:t xml:space="preserve">  供暖、通风、空调及燃气系统</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pPr>
        <w:numPr>
          <w:ilvl w:val="0"/>
          <w:numId w:val="18"/>
        </w:numPr>
        <w:rPr>
          <w:color w:val="auto"/>
          <w:highlight w:val="none"/>
        </w:rPr>
      </w:pPr>
      <w:r>
        <w:rPr>
          <w:color w:val="auto"/>
          <w:highlight w:val="none"/>
        </w:rPr>
        <w:t>混凝土模块化建筑的</w:t>
      </w:r>
      <w:r>
        <w:rPr>
          <w:rFonts w:hint="eastAsia"/>
          <w:color w:val="auto"/>
          <w:highlight w:val="none"/>
        </w:rPr>
        <w:t>供暖、</w:t>
      </w:r>
      <w:r>
        <w:rPr>
          <w:color w:val="auto"/>
          <w:highlight w:val="none"/>
        </w:rPr>
        <w:t>通风</w:t>
      </w:r>
      <w:r>
        <w:rPr>
          <w:rFonts w:hint="eastAsia"/>
          <w:color w:val="auto"/>
          <w:highlight w:val="none"/>
        </w:rPr>
        <w:t>、空调</w:t>
      </w:r>
      <w:r>
        <w:rPr>
          <w:color w:val="auto"/>
          <w:highlight w:val="none"/>
        </w:rPr>
        <w:t>设计应符合</w:t>
      </w:r>
      <w:r>
        <w:rPr>
          <w:rFonts w:hint="eastAsia"/>
          <w:color w:val="auto"/>
          <w:highlight w:val="none"/>
        </w:rPr>
        <w:t>国家现行</w:t>
      </w:r>
      <w:r>
        <w:rPr>
          <w:color w:val="auto"/>
          <w:highlight w:val="none"/>
        </w:rPr>
        <w:t>标准</w:t>
      </w:r>
      <w:r>
        <w:rPr>
          <w:rFonts w:hint="eastAsia"/>
          <w:color w:val="auto"/>
          <w:highlight w:val="none"/>
        </w:rPr>
        <w:t>《民用建筑供暖通风与空气调节设计规范》GB 50736、</w:t>
      </w:r>
      <w:bookmarkStart w:id="718" w:name="_Hlk191390369"/>
      <w:r>
        <w:rPr>
          <w:rFonts w:hint="eastAsia"/>
          <w:color w:val="auto"/>
          <w:highlight w:val="none"/>
        </w:rPr>
        <w:t>《多联机空调系统工程技术规程》JGJ 174</w:t>
      </w:r>
      <w:bookmarkEnd w:id="718"/>
      <w:r>
        <w:rPr>
          <w:rFonts w:hint="eastAsia"/>
          <w:color w:val="auto"/>
          <w:highlight w:val="none"/>
        </w:rPr>
        <w:t>和《辐射供暖供冷技术规程》JGJ 142的</w:t>
      </w:r>
      <w:r>
        <w:rPr>
          <w:color w:val="auto"/>
          <w:highlight w:val="none"/>
        </w:rPr>
        <w:t>有关规定。</w:t>
      </w:r>
    </w:p>
    <w:p>
      <w:pPr>
        <w:numPr>
          <w:ilvl w:val="0"/>
          <w:numId w:val="18"/>
        </w:numPr>
        <w:rPr>
          <w:color w:val="auto"/>
          <w:highlight w:val="none"/>
        </w:rPr>
      </w:pPr>
      <w:r>
        <w:rPr>
          <w:color w:val="auto"/>
          <w:highlight w:val="none"/>
        </w:rPr>
        <w:t>混凝土模块化建筑的燃气系统设计应符合现行国家标准《城镇燃气设计规范》GB 50028</w:t>
      </w:r>
      <w:bookmarkStart w:id="719" w:name="_Hlk191390408"/>
      <w:r>
        <w:rPr>
          <w:rFonts w:hint="eastAsia"/>
          <w:color w:val="auto"/>
          <w:highlight w:val="none"/>
        </w:rPr>
        <w:t>和上海市地方标准《城镇天然气管道工程技术标准》DG/TJ 08-10</w:t>
      </w:r>
      <w:bookmarkEnd w:id="719"/>
      <w:r>
        <w:rPr>
          <w:color w:val="auto"/>
          <w:highlight w:val="none"/>
        </w:rPr>
        <w:t>的有关规定。</w:t>
      </w:r>
    </w:p>
    <w:p>
      <w:pPr>
        <w:numPr>
          <w:ilvl w:val="0"/>
          <w:numId w:val="18"/>
        </w:numPr>
        <w:rPr>
          <w:color w:val="auto"/>
          <w:highlight w:val="none"/>
        </w:rPr>
      </w:pPr>
      <w:bookmarkStart w:id="720" w:name="_Hlk191390657"/>
      <w:r>
        <w:rPr>
          <w:rFonts w:hint="eastAsia"/>
          <w:color w:val="auto"/>
          <w:highlight w:val="none"/>
        </w:rPr>
        <w:t>模块单元内</w:t>
      </w:r>
      <w:r>
        <w:rPr>
          <w:color w:val="auto"/>
          <w:highlight w:val="none"/>
        </w:rPr>
        <w:t>供暖通风</w:t>
      </w:r>
      <w:r>
        <w:rPr>
          <w:rFonts w:hint="eastAsia"/>
          <w:color w:val="auto"/>
          <w:highlight w:val="none"/>
        </w:rPr>
        <w:t>与</w:t>
      </w:r>
      <w:r>
        <w:rPr>
          <w:color w:val="auto"/>
          <w:highlight w:val="none"/>
        </w:rPr>
        <w:t>空调设备</w:t>
      </w:r>
      <w:r>
        <w:rPr>
          <w:rFonts w:hint="eastAsia"/>
          <w:color w:val="auto"/>
          <w:highlight w:val="none"/>
        </w:rPr>
        <w:t>、</w:t>
      </w:r>
      <w:r>
        <w:rPr>
          <w:color w:val="auto"/>
          <w:highlight w:val="none"/>
        </w:rPr>
        <w:t>管线</w:t>
      </w:r>
      <w:r>
        <w:rPr>
          <w:rFonts w:hint="eastAsia"/>
          <w:color w:val="auto"/>
          <w:highlight w:val="none"/>
        </w:rPr>
        <w:t>设计</w:t>
      </w:r>
      <w:r>
        <w:rPr>
          <w:color w:val="auto"/>
          <w:highlight w:val="none"/>
        </w:rPr>
        <w:t>应符合下列规定：</w:t>
      </w:r>
    </w:p>
    <w:bookmarkEnd w:id="720"/>
    <w:p>
      <w:pPr>
        <w:ind w:firstLine="440" w:firstLineChars="200"/>
        <w:rPr>
          <w:bCs/>
          <w:color w:val="auto"/>
          <w:highlight w:val="none"/>
        </w:rPr>
      </w:pPr>
      <w:r>
        <w:rPr>
          <w:b/>
          <w:color w:val="auto"/>
          <w:highlight w:val="none"/>
        </w:rPr>
        <w:t xml:space="preserve">1  </w:t>
      </w:r>
      <w:r>
        <w:rPr>
          <w:rFonts w:hint="eastAsia"/>
          <w:bCs/>
          <w:color w:val="auto"/>
          <w:highlight w:val="none"/>
        </w:rPr>
        <w:t>供暖、通风、空气调节及防排烟系统的设备宜结合建筑方案整体设计，并预留相关设备基础、吊挂支撑及孔洞位置；当设备整体安装时，管线应与模块单元上的预埋件可靠连接，并宜采取隔振、隔音措施。</w:t>
      </w:r>
    </w:p>
    <w:p>
      <w:pPr>
        <w:ind w:firstLine="440" w:firstLineChars="200"/>
        <w:rPr>
          <w:b/>
          <w:color w:val="auto"/>
          <w:highlight w:val="none"/>
        </w:rPr>
      </w:pPr>
      <w:r>
        <w:rPr>
          <w:rFonts w:hint="eastAsia"/>
          <w:b/>
          <w:color w:val="auto"/>
          <w:highlight w:val="none"/>
        </w:rPr>
        <w:t>2</w:t>
      </w:r>
      <w:r>
        <w:rPr>
          <w:rFonts w:hint="eastAsia"/>
          <w:bCs/>
          <w:color w:val="auto"/>
          <w:highlight w:val="none"/>
        </w:rPr>
        <w:t xml:space="preserve">  </w:t>
      </w:r>
      <w:bookmarkStart w:id="721" w:name="_Hlk191390699"/>
      <w:r>
        <w:rPr>
          <w:bCs/>
          <w:color w:val="auto"/>
          <w:highlight w:val="none"/>
        </w:rPr>
        <w:t>设备、管线应方便维修更换，维修更换时不应影响主体结构，并宜与主体结构相分离</w:t>
      </w:r>
      <w:bookmarkEnd w:id="721"/>
      <w:r>
        <w:rPr>
          <w:rFonts w:hint="eastAsia"/>
          <w:bCs/>
          <w:color w:val="auto"/>
          <w:highlight w:val="none"/>
        </w:rPr>
        <w:t>。</w:t>
      </w:r>
    </w:p>
    <w:p>
      <w:pPr>
        <w:numPr>
          <w:ilvl w:val="0"/>
          <w:numId w:val="18"/>
        </w:numPr>
        <w:rPr>
          <w:color w:val="auto"/>
          <w:highlight w:val="none"/>
        </w:rPr>
      </w:pPr>
      <w:r>
        <w:rPr>
          <w:rFonts w:hint="eastAsia"/>
          <w:color w:val="auto"/>
          <w:highlight w:val="none"/>
        </w:rPr>
        <w:t>混凝土模块化建筑的地暖系统设计应符合下列规定：</w:t>
      </w:r>
    </w:p>
    <w:p>
      <w:pPr>
        <w:tabs>
          <w:tab w:val="left" w:pos="0"/>
        </w:tabs>
        <w:ind w:firstLine="440" w:firstLineChars="200"/>
        <w:rPr>
          <w:color w:val="auto"/>
          <w:highlight w:val="none"/>
        </w:rPr>
      </w:pPr>
      <w:r>
        <w:rPr>
          <w:rFonts w:hint="eastAsia"/>
          <w:b/>
          <w:bCs/>
          <w:color w:val="auto"/>
          <w:highlight w:val="none"/>
        </w:rPr>
        <w:t>1</w:t>
      </w:r>
      <w:r>
        <w:rPr>
          <w:rFonts w:hint="eastAsia"/>
          <w:color w:val="auto"/>
          <w:highlight w:val="none"/>
        </w:rPr>
        <w:t xml:space="preserve">  地暖系统宜与模块单元底板进行集成；</w:t>
      </w:r>
    </w:p>
    <w:p>
      <w:pPr>
        <w:tabs>
          <w:tab w:val="left" w:pos="0"/>
        </w:tabs>
        <w:ind w:firstLine="440" w:firstLineChars="200"/>
        <w:rPr>
          <w:b/>
          <w:bCs/>
          <w:color w:val="auto"/>
          <w:highlight w:val="none"/>
        </w:rPr>
      </w:pPr>
      <w:r>
        <w:rPr>
          <w:rFonts w:hint="eastAsia"/>
          <w:b/>
          <w:bCs/>
          <w:color w:val="auto"/>
          <w:highlight w:val="none"/>
        </w:rPr>
        <w:t xml:space="preserve">2  </w:t>
      </w:r>
      <w:r>
        <w:rPr>
          <w:rFonts w:hint="eastAsia"/>
          <w:color w:val="auto"/>
          <w:highlight w:val="none"/>
        </w:rPr>
        <w:t>在模块单元拼接部位，地暖盘管应采用可靠的连接方式，可采用热熔连接或卡套式、卡压式</w:t>
      </w:r>
      <w:r>
        <w:rPr>
          <w:rFonts w:hint="eastAsia"/>
          <w:color w:val="auto"/>
          <w:highlight w:val="none"/>
          <w:lang w:eastAsia="zh-CN"/>
        </w:rPr>
        <w:t>铜质</w:t>
      </w:r>
      <w:r>
        <w:rPr>
          <w:rFonts w:hint="eastAsia"/>
          <w:color w:val="auto"/>
          <w:highlight w:val="none"/>
        </w:rPr>
        <w:t>管接头连接，其中湿式地暖应在连接处设置检修盒；</w:t>
      </w:r>
    </w:p>
    <w:p>
      <w:pPr>
        <w:tabs>
          <w:tab w:val="left" w:pos="0"/>
        </w:tabs>
        <w:ind w:firstLine="440" w:firstLineChars="200"/>
        <w:rPr>
          <w:color w:val="auto"/>
          <w:highlight w:val="none"/>
        </w:rPr>
      </w:pPr>
      <w:r>
        <w:rPr>
          <w:b/>
          <w:bCs/>
          <w:color w:val="auto"/>
          <w:highlight w:val="none"/>
        </w:rPr>
        <w:t>3</w:t>
      </w:r>
      <w:r>
        <w:rPr>
          <w:rFonts w:hint="eastAsia"/>
          <w:b/>
          <w:bCs/>
          <w:color w:val="auto"/>
          <w:highlight w:val="none"/>
        </w:rPr>
        <w:t xml:space="preserve">  </w:t>
      </w:r>
      <w:r>
        <w:rPr>
          <w:rFonts w:hint="eastAsia"/>
          <w:color w:val="auto"/>
          <w:highlight w:val="none"/>
        </w:rPr>
        <w:t>当采用铜制管接头连接时，应在铜制管接头外表面做防腐处理，并应采用橡胶软套管且在两端做好密封；</w:t>
      </w:r>
    </w:p>
    <w:p>
      <w:pPr>
        <w:tabs>
          <w:tab w:val="left" w:pos="0"/>
        </w:tabs>
        <w:ind w:firstLine="440" w:firstLineChars="200"/>
        <w:rPr>
          <w:color w:val="auto"/>
          <w:highlight w:val="none"/>
        </w:rPr>
      </w:pPr>
      <w:r>
        <w:rPr>
          <w:rFonts w:hint="eastAsia"/>
          <w:b/>
          <w:bCs/>
          <w:color w:val="auto"/>
          <w:highlight w:val="none"/>
        </w:rPr>
        <w:t xml:space="preserve">4  </w:t>
      </w:r>
      <w:r>
        <w:rPr>
          <w:rFonts w:hint="eastAsia"/>
          <w:color w:val="auto"/>
          <w:highlight w:val="none"/>
        </w:rPr>
        <w:t>应在竣工图上清</w:t>
      </w:r>
      <w:r>
        <w:rPr>
          <w:rFonts w:hint="eastAsia"/>
          <w:color w:val="auto"/>
          <w:highlight w:val="none"/>
          <w:lang w:eastAsia="zh-CN"/>
        </w:rPr>
        <w:t>晰地标示</w:t>
      </w:r>
      <w:r>
        <w:rPr>
          <w:rFonts w:hint="eastAsia"/>
          <w:color w:val="auto"/>
          <w:highlight w:val="none"/>
        </w:rPr>
        <w:t>连接位置，并记录归档。</w:t>
      </w:r>
    </w:p>
    <w:p>
      <w:pPr>
        <w:pStyle w:val="4"/>
        <w:rPr>
          <w:color w:val="auto"/>
          <w:highlight w:val="none"/>
          <w:lang w:bidi="ar"/>
        </w:rPr>
      </w:pPr>
      <w:bookmarkStart w:id="722" w:name="_Toc21810"/>
      <w:bookmarkStart w:id="723" w:name="_Toc30032"/>
      <w:bookmarkStart w:id="724" w:name="_Toc21191"/>
      <w:bookmarkStart w:id="725" w:name="_Toc23622"/>
      <w:bookmarkStart w:id="726" w:name="_Toc12899"/>
      <w:bookmarkStart w:id="727" w:name="_Toc5813"/>
      <w:bookmarkStart w:id="728" w:name="_Toc8076"/>
      <w:bookmarkStart w:id="729" w:name="_Toc20771"/>
      <w:bookmarkStart w:id="730" w:name="_Toc16935"/>
      <w:bookmarkStart w:id="731" w:name="_Toc24211"/>
      <w:bookmarkStart w:id="732" w:name="_Toc31088"/>
      <w:bookmarkStart w:id="733" w:name="_Toc9296"/>
      <w:bookmarkStart w:id="734" w:name="_Toc18081"/>
      <w:bookmarkStart w:id="735" w:name="_Toc14064"/>
      <w:bookmarkStart w:id="736" w:name="_Toc2767"/>
      <w:bookmarkStart w:id="737" w:name="_Toc22317"/>
      <w:bookmarkStart w:id="738" w:name="_Toc22111"/>
      <w:bookmarkStart w:id="739" w:name="_Toc17872"/>
      <w:bookmarkStart w:id="740" w:name="_Toc28838"/>
      <w:bookmarkStart w:id="741" w:name="_Toc7731"/>
      <w:bookmarkStart w:id="742" w:name="_Toc10259"/>
      <w:bookmarkStart w:id="743" w:name="_Toc20133"/>
      <w:bookmarkStart w:id="744" w:name="_Toc24421"/>
      <w:bookmarkStart w:id="745" w:name="_Toc6491"/>
      <w:bookmarkStart w:id="746" w:name="_Toc13150"/>
      <w:bookmarkStart w:id="747" w:name="_Toc13370"/>
      <w:bookmarkStart w:id="748" w:name="_Toc10433"/>
      <w:bookmarkStart w:id="749" w:name="_Toc5009"/>
      <w:bookmarkStart w:id="750" w:name="_Toc12782"/>
      <w:bookmarkStart w:id="751" w:name="_Toc23278"/>
      <w:bookmarkStart w:id="752" w:name="_Toc18155"/>
      <w:bookmarkStart w:id="753" w:name="_Toc28422"/>
      <w:bookmarkStart w:id="754" w:name="_Toc21847"/>
      <w:r>
        <w:rPr>
          <w:rFonts w:hint="eastAsia"/>
          <w:b/>
          <w:bCs w:val="0"/>
          <w:color w:val="auto"/>
          <w:highlight w:val="none"/>
        </w:rPr>
        <w:t>6</w:t>
      </w:r>
      <w:r>
        <w:rPr>
          <w:rFonts w:hint="eastAsia" w:ascii="宋体" w:hAnsi="宋体" w:eastAsia="宋体"/>
          <w:color w:val="auto"/>
          <w:szCs w:val="21"/>
          <w:highlight w:val="none"/>
        </w:rPr>
        <w:t>.</w:t>
      </w:r>
      <w:r>
        <w:rPr>
          <w:b/>
          <w:bCs w:val="0"/>
          <w:color w:val="auto"/>
          <w:highlight w:val="none"/>
        </w:rPr>
        <w:t>4</w:t>
      </w:r>
      <w:r>
        <w:rPr>
          <w:rFonts w:hint="eastAsia"/>
          <w:color w:val="auto"/>
          <w:highlight w:val="none"/>
        </w:rPr>
        <w:t xml:space="preserve">  电气系统</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p>
      <w:pPr>
        <w:numPr>
          <w:ilvl w:val="0"/>
          <w:numId w:val="19"/>
        </w:numPr>
        <w:rPr>
          <w:color w:val="auto"/>
          <w:highlight w:val="none"/>
        </w:rPr>
      </w:pPr>
      <w:r>
        <w:rPr>
          <w:rFonts w:hint="eastAsia"/>
          <w:color w:val="auto"/>
          <w:highlight w:val="none"/>
        </w:rPr>
        <w:t>混凝土模块化建筑的照明、配电、防雷、接地、消防、智能化设计应符合现行国家标准</w:t>
      </w:r>
      <w:bookmarkStart w:id="755" w:name="_Hlk191391207"/>
      <w:r>
        <w:rPr>
          <w:rFonts w:hint="eastAsia"/>
          <w:color w:val="auto"/>
          <w:highlight w:val="none"/>
        </w:rPr>
        <w:t>《建筑电气与智能化通用规范》GB</w:t>
      </w:r>
      <w:r>
        <w:rPr>
          <w:color w:val="auto"/>
          <w:highlight w:val="none"/>
        </w:rPr>
        <w:t xml:space="preserve"> </w:t>
      </w:r>
      <w:r>
        <w:rPr>
          <w:rFonts w:hint="eastAsia"/>
          <w:color w:val="auto"/>
          <w:highlight w:val="none"/>
        </w:rPr>
        <w:t>55024、《建筑照明设计标准》GB 55034、《供配电系统设计规范》GB 50052、《建筑物防雷设计规范》GB 50057、《交流电气装置的接地设计规范》GB/T 50065、《低压配电设计规范》GB 50054、《民用建筑电气设计标准》GB 51348、《通用用电设备配电设计规范》GB 50055及上海市地方标准《民用建筑电气防火设计标准》DG/TJ 08-2048等有关规定。</w:t>
      </w:r>
      <w:bookmarkEnd w:id="755"/>
    </w:p>
    <w:p>
      <w:pPr>
        <w:numPr>
          <w:ilvl w:val="0"/>
          <w:numId w:val="19"/>
        </w:numPr>
        <w:rPr>
          <w:color w:val="auto"/>
          <w:highlight w:val="none"/>
        </w:rPr>
      </w:pPr>
      <w:r>
        <w:rPr>
          <w:rFonts w:hint="eastAsia"/>
          <w:color w:val="auto"/>
          <w:highlight w:val="none"/>
        </w:rPr>
        <w:t>电气管线、接线盒的选择及敷设应符合下列规定：</w:t>
      </w:r>
    </w:p>
    <w:p>
      <w:pPr>
        <w:ind w:firstLine="440" w:firstLineChars="200"/>
        <w:rPr>
          <w:b/>
          <w:color w:val="auto"/>
          <w:highlight w:val="none"/>
        </w:rPr>
      </w:pPr>
      <w:r>
        <w:rPr>
          <w:rFonts w:hint="eastAsia"/>
          <w:b/>
          <w:color w:val="auto"/>
          <w:highlight w:val="none"/>
        </w:rPr>
        <w:t xml:space="preserve">1  </w:t>
      </w:r>
      <w:r>
        <w:rPr>
          <w:rFonts w:hint="eastAsia"/>
          <w:bCs/>
          <w:color w:val="auto"/>
          <w:highlight w:val="none"/>
        </w:rPr>
        <w:t>低压配电系统及智能化系统的主干线应在公共区域的电气竖井内设置；功能单元内终端线路较多时，宜采用金属槽盒敷设，较少时可统一预埋在预制板内或装饰墙面内，墙板内竖向电气和智能化管线布置应保持安全间距；</w:t>
      </w:r>
    </w:p>
    <w:p>
      <w:pPr>
        <w:ind w:firstLine="440" w:firstLineChars="200"/>
        <w:rPr>
          <w:bCs/>
          <w:color w:val="auto"/>
          <w:highlight w:val="none"/>
        </w:rPr>
      </w:pPr>
      <w:r>
        <w:rPr>
          <w:b/>
          <w:color w:val="auto"/>
          <w:highlight w:val="none"/>
        </w:rPr>
        <w:t xml:space="preserve">2  </w:t>
      </w:r>
      <w:r>
        <w:rPr>
          <w:bCs/>
          <w:color w:val="auto"/>
          <w:highlight w:val="none"/>
        </w:rPr>
        <w:t>孔洞及接线盒不应在模块构造连接区域设置，隔墙两侧的电气设备不宜直接连通。</w:t>
      </w:r>
    </w:p>
    <w:p>
      <w:pPr>
        <w:ind w:firstLine="440" w:firstLineChars="200"/>
        <w:rPr>
          <w:bCs/>
          <w:color w:val="auto"/>
          <w:highlight w:val="none"/>
        </w:rPr>
      </w:pPr>
      <w:r>
        <w:rPr>
          <w:rFonts w:hint="eastAsia"/>
          <w:b/>
          <w:bCs/>
          <w:color w:val="auto"/>
          <w:highlight w:val="none"/>
        </w:rPr>
        <w:t>3</w:t>
      </w:r>
      <w:r>
        <w:rPr>
          <w:rFonts w:hint="eastAsia"/>
          <w:color w:val="auto"/>
          <w:highlight w:val="none"/>
        </w:rPr>
        <w:t xml:space="preserve">  </w:t>
      </w:r>
      <w:r>
        <w:rPr>
          <w:rFonts w:hint="eastAsia"/>
          <w:bCs/>
          <w:color w:val="auto"/>
          <w:highlight w:val="none"/>
        </w:rPr>
        <w:t>固定在模块单元构件上较重的大型灯具、桥架、母线、配电设备等，应预留预埋件进行固定；</w:t>
      </w:r>
    </w:p>
    <w:p>
      <w:pPr>
        <w:ind w:firstLine="422"/>
        <w:rPr>
          <w:color w:val="auto"/>
          <w:highlight w:val="none"/>
        </w:rPr>
      </w:pPr>
      <w:r>
        <w:rPr>
          <w:rFonts w:hint="eastAsia"/>
          <w:b/>
          <w:bCs/>
          <w:color w:val="auto"/>
          <w:highlight w:val="none"/>
        </w:rPr>
        <w:t xml:space="preserve">4  </w:t>
      </w:r>
      <w:r>
        <w:rPr>
          <w:rFonts w:hint="eastAsia"/>
          <w:color w:val="auto"/>
          <w:highlight w:val="none"/>
        </w:rPr>
        <w:t>暗装的电气及智能化设备的出线口、接线盒等的孔洞均应准确定位；隔墙两侧暗装电气与智能化设备应错位设置；开关、电源插座、信息插座及必要的接线盒、连接管等应结合内装设计进行预留和预埋，其背后的墙体保温层应连续布置；</w:t>
      </w:r>
    </w:p>
    <w:p>
      <w:pPr>
        <w:tabs>
          <w:tab w:val="left" w:pos="0"/>
        </w:tabs>
        <w:ind w:firstLine="440" w:firstLineChars="200"/>
        <w:rPr>
          <w:rFonts w:hint="eastAsia" w:eastAsia="宋体"/>
          <w:bCs/>
          <w:color w:val="auto"/>
          <w:highlight w:val="none"/>
          <w:lang w:eastAsia="zh-CN"/>
        </w:rPr>
      </w:pPr>
      <w:r>
        <w:rPr>
          <w:rFonts w:hint="eastAsia"/>
          <w:b/>
          <w:color w:val="auto"/>
          <w:highlight w:val="none"/>
        </w:rPr>
        <w:t>5</w:t>
      </w:r>
      <w:r>
        <w:rPr>
          <w:b/>
          <w:color w:val="auto"/>
          <w:highlight w:val="none"/>
        </w:rPr>
        <w:t xml:space="preserve">  </w:t>
      </w:r>
      <w:r>
        <w:rPr>
          <w:rFonts w:hint="eastAsia"/>
          <w:color w:val="auto"/>
          <w:highlight w:val="none"/>
        </w:rPr>
        <w:t>模块单元之间的连接管宜采用可弯曲金属导管</w:t>
      </w:r>
      <w:r>
        <w:rPr>
          <w:rFonts w:hint="eastAsia"/>
          <w:color w:val="auto"/>
          <w:highlight w:val="none"/>
          <w:lang w:eastAsia="zh-CN"/>
        </w:rPr>
        <w:t>。</w:t>
      </w:r>
    </w:p>
    <w:p>
      <w:pPr>
        <w:numPr>
          <w:ilvl w:val="0"/>
          <w:numId w:val="19"/>
        </w:numPr>
        <w:rPr>
          <w:color w:val="auto"/>
          <w:highlight w:val="none"/>
        </w:rPr>
      </w:pPr>
      <w:bookmarkStart w:id="756" w:name="_Hlk191392334"/>
      <w:r>
        <w:rPr>
          <w:rFonts w:hint="eastAsia"/>
          <w:color w:val="auto"/>
          <w:highlight w:val="none"/>
        </w:rPr>
        <w:t>防雷及接地应符合下列规定：</w:t>
      </w:r>
    </w:p>
    <w:bookmarkEnd w:id="756"/>
    <w:p>
      <w:pPr>
        <w:ind w:firstLine="420"/>
        <w:rPr>
          <w:b/>
          <w:color w:val="auto"/>
          <w:highlight w:val="none"/>
        </w:rPr>
      </w:pPr>
      <w:r>
        <w:rPr>
          <w:b/>
          <w:color w:val="auto"/>
          <w:highlight w:val="none"/>
        </w:rPr>
        <w:t xml:space="preserve">1  </w:t>
      </w:r>
      <w:r>
        <w:rPr>
          <w:rFonts w:hint="eastAsia"/>
          <w:bCs/>
          <w:color w:val="auto"/>
          <w:highlight w:val="none"/>
        </w:rPr>
        <w:t>电气与智能化设备接地宜与防雷接地系统共用接地网，防雷引下线和共用接地装置应优先利用建筑结构构件内金属体，并预留对接槽口，保证钢筋焊接或绑扎长度满足规范要求，构件连接部位应有永久性明显标记；</w:t>
      </w:r>
    </w:p>
    <w:p>
      <w:pPr>
        <w:ind w:firstLine="420"/>
        <w:rPr>
          <w:color w:val="auto"/>
          <w:highlight w:val="none"/>
          <w:lang w:bidi="ar"/>
        </w:rPr>
      </w:pPr>
      <w:r>
        <w:rPr>
          <w:b/>
          <w:color w:val="auto"/>
          <w:highlight w:val="none"/>
        </w:rPr>
        <w:t xml:space="preserve">2  </w:t>
      </w:r>
      <w:r>
        <w:rPr>
          <w:rFonts w:hint="eastAsia"/>
          <w:color w:val="auto"/>
          <w:highlight w:val="none"/>
          <w:lang w:bidi="ar"/>
        </w:rPr>
        <w:t>当模块单元外墙上的金属管道、栏杆、门窗、金属围护部（构）件、金属遮阳部（构）件等金属物需要做防雷连接时，应通过与相关模块单元内部的金属件与防雷装置连接成电气通路；</w:t>
      </w:r>
    </w:p>
    <w:p>
      <w:pPr>
        <w:ind w:firstLine="420"/>
        <w:rPr>
          <w:color w:val="auto"/>
          <w:highlight w:val="none"/>
          <w:lang w:bidi="ar"/>
        </w:rPr>
      </w:pPr>
      <w:r>
        <w:rPr>
          <w:b/>
          <w:color w:val="auto"/>
          <w:highlight w:val="none"/>
        </w:rPr>
        <w:t xml:space="preserve">3  </w:t>
      </w:r>
      <w:r>
        <w:rPr>
          <w:rFonts w:hint="eastAsia"/>
          <w:color w:val="auto"/>
          <w:highlight w:val="none"/>
        </w:rPr>
        <w:t>共用接地装置电阻值应满足各种接地电阻要求的最小值</w:t>
      </w:r>
      <w:r>
        <w:rPr>
          <w:rFonts w:hint="eastAsia"/>
          <w:color w:val="auto"/>
          <w:highlight w:val="none"/>
          <w:lang w:bidi="ar"/>
        </w:rPr>
        <w:t>；</w:t>
      </w:r>
    </w:p>
    <w:p>
      <w:pPr>
        <w:ind w:firstLine="420"/>
        <w:rPr>
          <w:color w:val="auto"/>
          <w:highlight w:val="none"/>
          <w:lang w:bidi="ar"/>
        </w:rPr>
      </w:pPr>
      <w:r>
        <w:rPr>
          <w:b/>
          <w:color w:val="auto"/>
          <w:highlight w:val="none"/>
        </w:rPr>
        <w:t xml:space="preserve">4  </w:t>
      </w:r>
      <w:r>
        <w:rPr>
          <w:rFonts w:hint="eastAsia"/>
          <w:color w:val="auto"/>
          <w:highlight w:val="none"/>
          <w:lang w:bidi="ar"/>
        </w:rPr>
        <w:t>设置等电位联结的场所，各构件内的钢筋应做可靠的电气连接，并与等电位联结端子箱连通。</w:t>
      </w:r>
    </w:p>
    <w:p>
      <w:pPr>
        <w:ind w:left="190"/>
        <w:rPr>
          <w:color w:val="auto"/>
          <w:highlight w:val="none"/>
        </w:rPr>
      </w:pPr>
    </w:p>
    <w:p>
      <w:pPr>
        <w:rPr>
          <w:color w:val="auto"/>
          <w:highlight w:val="none"/>
        </w:rPr>
        <w:sectPr>
          <w:pgSz w:w="11906" w:h="16838"/>
          <w:pgMar w:top="1610" w:right="1349" w:bottom="1213" w:left="1293" w:header="851" w:footer="992" w:gutter="0"/>
          <w:cols w:space="720" w:num="1"/>
          <w:docGrid w:type="linesAndChars" w:linePitch="333" w:charSpace="2165"/>
        </w:sectPr>
      </w:pPr>
    </w:p>
    <w:p>
      <w:pPr>
        <w:pStyle w:val="2"/>
        <w:rPr>
          <w:b/>
          <w:bCs w:val="0"/>
          <w:color w:val="auto"/>
          <w:highlight w:val="none"/>
        </w:rPr>
      </w:pPr>
      <w:bookmarkStart w:id="757" w:name="_Toc18718"/>
      <w:bookmarkStart w:id="758" w:name="_Toc5147"/>
      <w:bookmarkStart w:id="759" w:name="_Toc24149"/>
      <w:bookmarkStart w:id="760" w:name="_Toc2898"/>
      <w:bookmarkStart w:id="761" w:name="_Toc31587"/>
      <w:bookmarkStart w:id="762" w:name="_Toc10307"/>
      <w:bookmarkStart w:id="763" w:name="_Toc7853"/>
      <w:bookmarkStart w:id="764" w:name="_Toc5773"/>
      <w:bookmarkStart w:id="765" w:name="_Toc5051"/>
      <w:bookmarkStart w:id="766" w:name="_Toc32469"/>
      <w:bookmarkStart w:id="767" w:name="_Toc19126"/>
      <w:bookmarkStart w:id="768" w:name="_Toc31927"/>
      <w:bookmarkStart w:id="769" w:name="_Toc25047"/>
      <w:bookmarkStart w:id="770" w:name="_Toc30022"/>
      <w:bookmarkStart w:id="771" w:name="_Toc4315"/>
      <w:bookmarkStart w:id="772" w:name="_Toc11265"/>
      <w:bookmarkStart w:id="773" w:name="_Toc5163"/>
      <w:bookmarkStart w:id="774" w:name="_Toc9027"/>
      <w:bookmarkStart w:id="775" w:name="_Toc2967"/>
      <w:bookmarkStart w:id="776" w:name="_Toc2913"/>
      <w:bookmarkStart w:id="777" w:name="_Toc10160"/>
      <w:bookmarkStart w:id="778" w:name="_Toc29344"/>
      <w:bookmarkStart w:id="779" w:name="_Toc13681"/>
      <w:bookmarkStart w:id="780" w:name="_Toc19271"/>
      <w:bookmarkStart w:id="781" w:name="_Toc1166"/>
      <w:bookmarkStart w:id="782" w:name="_Toc4718"/>
      <w:bookmarkStart w:id="783" w:name="_Toc16100"/>
      <w:bookmarkStart w:id="784" w:name="_Toc17659"/>
      <w:bookmarkStart w:id="785" w:name="_Toc15485"/>
      <w:bookmarkStart w:id="786" w:name="_Toc22041"/>
      <w:bookmarkStart w:id="787" w:name="_Toc27634"/>
      <w:bookmarkStart w:id="788" w:name="_Toc19774"/>
      <w:bookmarkStart w:id="789" w:name="_Toc4729"/>
      <w:r>
        <w:rPr>
          <w:b/>
          <w:bCs w:val="0"/>
          <w:color w:val="auto"/>
          <w:highlight w:val="none"/>
        </w:rPr>
        <w:t>7</w:t>
      </w:r>
      <w:r>
        <w:rPr>
          <w:rFonts w:hint="eastAsia"/>
          <w:b/>
          <w:bCs w:val="0"/>
          <w:color w:val="auto"/>
          <w:highlight w:val="none"/>
        </w:rPr>
        <w:t xml:space="preserve">  </w:t>
      </w:r>
      <w:bookmarkEnd w:id="616"/>
      <w:bookmarkEnd w:id="617"/>
      <w:r>
        <w:rPr>
          <w:rFonts w:hint="eastAsia"/>
          <w:b/>
          <w:bCs w:val="0"/>
          <w:color w:val="auto"/>
          <w:highlight w:val="none"/>
        </w:rPr>
        <w:t>内装设计</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p>
    <w:p>
      <w:pPr>
        <w:pStyle w:val="4"/>
        <w:rPr>
          <w:color w:val="auto"/>
          <w:highlight w:val="none"/>
        </w:rPr>
      </w:pPr>
      <w:bookmarkStart w:id="790" w:name="_Toc30132"/>
      <w:bookmarkStart w:id="791" w:name="_Toc27438"/>
      <w:bookmarkStart w:id="792" w:name="_Toc17433"/>
      <w:bookmarkStart w:id="793" w:name="_Toc15508"/>
      <w:bookmarkStart w:id="794" w:name="_Toc25956"/>
      <w:bookmarkStart w:id="795" w:name="_Toc19628"/>
      <w:bookmarkStart w:id="796" w:name="_Toc27768"/>
      <w:bookmarkStart w:id="797" w:name="_Toc4466"/>
      <w:bookmarkStart w:id="798" w:name="_Toc13431"/>
      <w:bookmarkStart w:id="799" w:name="_Toc19038"/>
      <w:bookmarkStart w:id="800" w:name="_Toc32456"/>
      <w:bookmarkStart w:id="801" w:name="_Toc26559"/>
      <w:bookmarkStart w:id="802" w:name="_Toc27698"/>
      <w:bookmarkStart w:id="803" w:name="_Toc21206"/>
      <w:bookmarkStart w:id="804" w:name="_Toc10659"/>
      <w:bookmarkStart w:id="805" w:name="_Toc2281"/>
      <w:bookmarkStart w:id="806" w:name="_Toc110958486"/>
      <w:bookmarkStart w:id="807" w:name="_Toc11682"/>
      <w:bookmarkStart w:id="808" w:name="_Toc3293"/>
      <w:bookmarkStart w:id="809" w:name="_Toc24271"/>
      <w:bookmarkStart w:id="810" w:name="_Toc6105"/>
      <w:bookmarkStart w:id="811" w:name="_Toc21208"/>
      <w:bookmarkStart w:id="812" w:name="_Toc20432"/>
      <w:bookmarkStart w:id="813" w:name="_Toc9686"/>
      <w:bookmarkStart w:id="814" w:name="_Toc14951"/>
      <w:bookmarkStart w:id="815" w:name="_Toc3739"/>
      <w:bookmarkStart w:id="816" w:name="_Toc3421"/>
      <w:bookmarkStart w:id="817" w:name="_Toc110952718"/>
      <w:bookmarkStart w:id="818" w:name="_Toc1617"/>
      <w:bookmarkStart w:id="819" w:name="_Toc16864"/>
      <w:bookmarkStart w:id="820" w:name="_Toc8121"/>
      <w:bookmarkStart w:id="821" w:name="_Toc25746"/>
      <w:bookmarkStart w:id="822" w:name="_Toc27063"/>
      <w:bookmarkStart w:id="823" w:name="_Toc1627"/>
      <w:bookmarkStart w:id="824" w:name="_Toc30779"/>
      <w:r>
        <w:rPr>
          <w:rFonts w:hint="eastAsia"/>
          <w:b/>
          <w:bCs w:val="0"/>
          <w:color w:val="auto"/>
          <w:highlight w:val="none"/>
        </w:rPr>
        <w:t>7</w:t>
      </w:r>
      <w:r>
        <w:rPr>
          <w:rFonts w:hint="eastAsia" w:ascii="宋体" w:hAnsi="宋体" w:eastAsia="宋体"/>
          <w:b/>
          <w:bCs w:val="0"/>
          <w:color w:val="auto"/>
          <w:szCs w:val="21"/>
          <w:highlight w:val="none"/>
        </w:rPr>
        <w:t>.</w:t>
      </w:r>
      <w:r>
        <w:rPr>
          <w:b/>
          <w:bCs w:val="0"/>
          <w:color w:val="auto"/>
          <w:highlight w:val="none"/>
        </w:rPr>
        <w:t>1</w:t>
      </w:r>
      <w:r>
        <w:rPr>
          <w:rFonts w:hint="eastAsia"/>
          <w:color w:val="auto"/>
          <w:highlight w:val="none"/>
        </w:rPr>
        <w:t xml:space="preserve">  一般规定</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pPr>
        <w:numPr>
          <w:ilvl w:val="0"/>
          <w:numId w:val="20"/>
        </w:numPr>
        <w:rPr>
          <w:color w:val="auto"/>
          <w:highlight w:val="none"/>
        </w:rPr>
      </w:pPr>
      <w:r>
        <w:rPr>
          <w:rFonts w:hint="eastAsia"/>
          <w:color w:val="auto"/>
          <w:highlight w:val="none"/>
        </w:rPr>
        <w:t>混凝土模块化建筑的装饰装修应符合国家现行标准《建筑防火通用规范》GB 55037、《建筑内部装修设计防火规范》GB 50222、《民用建筑工程室内环境污染控制标准》GB 50325、《民用建筑隔声设计规范》GB 50118和《住宅室内装饰装修设计规范》JGJ 367及上海市地方标准《全装修住宅室内装修设计标准》DG/TJ 08-2178的有关规定。</w:t>
      </w:r>
    </w:p>
    <w:p>
      <w:pPr>
        <w:numPr>
          <w:ilvl w:val="0"/>
          <w:numId w:val="20"/>
        </w:numPr>
        <w:rPr>
          <w:color w:val="auto"/>
          <w:kern w:val="0"/>
          <w:szCs w:val="24"/>
          <w:highlight w:val="none"/>
        </w:rPr>
      </w:pPr>
      <w:r>
        <w:rPr>
          <w:rFonts w:hint="eastAsia"/>
          <w:color w:val="auto"/>
          <w:highlight w:val="none"/>
        </w:rPr>
        <w:t>混凝土模</w:t>
      </w:r>
      <w:r>
        <w:rPr>
          <w:color w:val="auto"/>
          <w:highlight w:val="none"/>
        </w:rPr>
        <w:t>块化建筑</w:t>
      </w:r>
      <w:r>
        <w:rPr>
          <w:color w:val="auto"/>
          <w:kern w:val="0"/>
          <w:szCs w:val="24"/>
          <w:highlight w:val="none"/>
        </w:rPr>
        <w:t>内装系统设计与部品</w:t>
      </w:r>
      <w:r>
        <w:rPr>
          <w:rFonts w:hint="eastAsia"/>
          <w:color w:val="auto"/>
          <w:kern w:val="0"/>
          <w:szCs w:val="24"/>
          <w:highlight w:val="none"/>
        </w:rPr>
        <w:t>、材料</w:t>
      </w:r>
      <w:r>
        <w:rPr>
          <w:color w:val="auto"/>
          <w:kern w:val="0"/>
          <w:szCs w:val="24"/>
          <w:highlight w:val="none"/>
        </w:rPr>
        <w:t>选型应满足绿色环保的要求</w:t>
      </w:r>
      <w:r>
        <w:rPr>
          <w:rFonts w:hint="eastAsia"/>
          <w:color w:val="auto"/>
          <w:kern w:val="0"/>
          <w:szCs w:val="24"/>
          <w:highlight w:val="none"/>
        </w:rPr>
        <w:t>。</w:t>
      </w:r>
      <w:r>
        <w:rPr>
          <w:color w:val="auto"/>
          <w:kern w:val="0"/>
          <w:szCs w:val="24"/>
          <w:highlight w:val="none"/>
        </w:rPr>
        <w:t>室内污染物</w:t>
      </w:r>
      <w:r>
        <w:rPr>
          <w:rFonts w:hint="eastAsia"/>
          <w:color w:val="auto"/>
          <w:kern w:val="0"/>
          <w:szCs w:val="24"/>
          <w:highlight w:val="none"/>
          <w:lang w:eastAsia="zh-CN"/>
        </w:rPr>
        <w:t>限值</w:t>
      </w:r>
      <w:r>
        <w:rPr>
          <w:color w:val="auto"/>
          <w:kern w:val="0"/>
          <w:szCs w:val="24"/>
          <w:highlight w:val="none"/>
        </w:rPr>
        <w:t>应符合现行国家标准</w:t>
      </w:r>
      <w:r>
        <w:rPr>
          <w:rFonts w:hint="eastAsia"/>
          <w:color w:val="auto"/>
          <w:kern w:val="0"/>
          <w:szCs w:val="24"/>
          <w:highlight w:val="none"/>
        </w:rPr>
        <w:t>《建筑环境通用规范》GB 55016和</w:t>
      </w:r>
      <w:r>
        <w:rPr>
          <w:color w:val="auto"/>
          <w:kern w:val="0"/>
          <w:szCs w:val="24"/>
          <w:highlight w:val="none"/>
        </w:rPr>
        <w:t>《民用建筑工程室内环境污染控制</w:t>
      </w:r>
      <w:r>
        <w:rPr>
          <w:rFonts w:hint="eastAsia"/>
          <w:color w:val="auto"/>
          <w:kern w:val="0"/>
          <w:szCs w:val="24"/>
          <w:highlight w:val="none"/>
        </w:rPr>
        <w:t>标准</w:t>
      </w:r>
      <w:r>
        <w:rPr>
          <w:color w:val="auto"/>
          <w:kern w:val="0"/>
          <w:szCs w:val="24"/>
          <w:highlight w:val="none"/>
        </w:rPr>
        <w:t>》GB 50325的有关规定。</w:t>
      </w:r>
    </w:p>
    <w:p>
      <w:pPr>
        <w:numPr>
          <w:ilvl w:val="0"/>
          <w:numId w:val="20"/>
        </w:numPr>
        <w:rPr>
          <w:color w:val="auto"/>
          <w:highlight w:val="none"/>
        </w:rPr>
      </w:pPr>
      <w:r>
        <w:rPr>
          <w:rFonts w:hint="eastAsia"/>
          <w:color w:val="auto"/>
          <w:highlight w:val="none"/>
        </w:rPr>
        <w:t>混凝土模块化建筑的装饰装修宜采用通用化、模数化和标准化的设计方式，并与建筑设计、结构设计、机电设计等专业进行一体化集成设计。</w:t>
      </w:r>
    </w:p>
    <w:p>
      <w:pPr>
        <w:numPr>
          <w:ilvl w:val="0"/>
          <w:numId w:val="20"/>
        </w:numPr>
        <w:rPr>
          <w:color w:val="auto"/>
          <w:highlight w:val="none"/>
        </w:rPr>
      </w:pPr>
      <w:r>
        <w:rPr>
          <w:rFonts w:hint="eastAsia"/>
          <w:color w:val="auto"/>
          <w:highlight w:val="none"/>
        </w:rPr>
        <w:t>混凝土模块化建筑的装饰装修应满足模块单元标准化设计、集成化安装的要求，并应满足运输、吊装及成品保护的要求。</w:t>
      </w:r>
    </w:p>
    <w:p>
      <w:pPr>
        <w:numPr>
          <w:ilvl w:val="0"/>
          <w:numId w:val="20"/>
        </w:numPr>
        <w:rPr>
          <w:color w:val="auto"/>
          <w:highlight w:val="none"/>
        </w:rPr>
      </w:pPr>
      <w:r>
        <w:rPr>
          <w:rFonts w:hint="eastAsia"/>
          <w:color w:val="auto"/>
          <w:highlight w:val="none"/>
        </w:rPr>
        <w:t>混凝土模块化建筑的装饰装修应满足部品检修更换、设备与管线使用维护的要求，宜采用室内装修和管线分离技术。</w:t>
      </w:r>
    </w:p>
    <w:p>
      <w:pPr>
        <w:numPr>
          <w:ilvl w:val="0"/>
          <w:numId w:val="20"/>
        </w:numPr>
        <w:rPr>
          <w:color w:val="auto"/>
          <w:highlight w:val="none"/>
        </w:rPr>
      </w:pPr>
      <w:r>
        <w:rPr>
          <w:rFonts w:hint="eastAsia"/>
          <w:color w:val="auto"/>
          <w:highlight w:val="none"/>
        </w:rPr>
        <w:t>混凝土模块化建筑的装饰装修宜采用装配式装修，宜采用集成式厨卫、装配式隔墙等内装部品。</w:t>
      </w:r>
    </w:p>
    <w:p>
      <w:pPr>
        <w:numPr>
          <w:ilvl w:val="0"/>
          <w:numId w:val="20"/>
        </w:numPr>
        <w:rPr>
          <w:color w:val="auto"/>
          <w:highlight w:val="none"/>
        </w:rPr>
      </w:pPr>
      <w:r>
        <w:rPr>
          <w:rFonts w:hint="eastAsia"/>
          <w:color w:val="auto"/>
          <w:highlight w:val="none"/>
        </w:rPr>
        <w:t>混凝土模块化建筑的装饰装修应积极采用符合产业发展方向的新技术、新工艺、新材料。</w:t>
      </w:r>
    </w:p>
    <w:p>
      <w:pPr>
        <w:pStyle w:val="4"/>
        <w:rPr>
          <w:color w:val="auto"/>
          <w:highlight w:val="none"/>
        </w:rPr>
      </w:pPr>
      <w:bookmarkStart w:id="825" w:name="_Toc7267"/>
      <w:bookmarkStart w:id="826" w:name="_Toc21466"/>
      <w:bookmarkStart w:id="827" w:name="_Toc29761"/>
      <w:bookmarkStart w:id="828" w:name="_Toc7720"/>
      <w:bookmarkStart w:id="829" w:name="_Toc24505"/>
      <w:bookmarkStart w:id="830" w:name="_Toc31650"/>
      <w:bookmarkStart w:id="831" w:name="_Toc5258"/>
      <w:bookmarkStart w:id="832" w:name="_Toc3360"/>
      <w:bookmarkStart w:id="833" w:name="_Toc18334"/>
      <w:bookmarkStart w:id="834" w:name="_Toc30392"/>
      <w:bookmarkStart w:id="835" w:name="_Toc32035"/>
      <w:bookmarkStart w:id="836" w:name="_Toc4118"/>
      <w:bookmarkStart w:id="837" w:name="_Toc22153"/>
      <w:bookmarkStart w:id="838" w:name="_Toc4759"/>
      <w:bookmarkStart w:id="839" w:name="_Toc4013"/>
      <w:bookmarkStart w:id="840" w:name="_Toc20088"/>
      <w:bookmarkStart w:id="841" w:name="_Toc27235"/>
      <w:bookmarkStart w:id="842" w:name="_Toc32441"/>
      <w:bookmarkStart w:id="843" w:name="_Toc25367"/>
      <w:bookmarkStart w:id="844" w:name="_Toc20357"/>
      <w:bookmarkStart w:id="845" w:name="_Toc23712"/>
      <w:bookmarkStart w:id="846" w:name="_Toc30905"/>
      <w:bookmarkStart w:id="847" w:name="_Toc7751"/>
      <w:bookmarkStart w:id="848" w:name="_Toc5647"/>
      <w:bookmarkStart w:id="849" w:name="_Toc30487"/>
      <w:bookmarkStart w:id="850" w:name="_Toc24653"/>
      <w:bookmarkStart w:id="851" w:name="_Toc18078"/>
      <w:bookmarkStart w:id="852" w:name="_Toc23841"/>
      <w:bookmarkStart w:id="853" w:name="_Toc2440"/>
      <w:bookmarkStart w:id="854" w:name="_Toc14104"/>
      <w:bookmarkStart w:id="855" w:name="_Toc26131"/>
      <w:bookmarkStart w:id="856" w:name="_Toc1977"/>
      <w:bookmarkStart w:id="857" w:name="_Toc2057"/>
      <w:r>
        <w:rPr>
          <w:rFonts w:hint="eastAsia"/>
          <w:b/>
          <w:bCs w:val="0"/>
          <w:color w:val="auto"/>
          <w:highlight w:val="none"/>
        </w:rPr>
        <w:t>7</w:t>
      </w:r>
      <w:r>
        <w:rPr>
          <w:rFonts w:hint="eastAsia" w:ascii="宋体" w:hAnsi="宋体" w:eastAsia="宋体"/>
          <w:color w:val="auto"/>
          <w:szCs w:val="21"/>
          <w:highlight w:val="none"/>
        </w:rPr>
        <w:t>.</w:t>
      </w:r>
      <w:r>
        <w:rPr>
          <w:rFonts w:hint="eastAsia"/>
          <w:b/>
          <w:bCs w:val="0"/>
          <w:color w:val="auto"/>
          <w:highlight w:val="none"/>
        </w:rPr>
        <w:t>2</w:t>
      </w:r>
      <w:r>
        <w:rPr>
          <w:rFonts w:hint="eastAsia"/>
          <w:color w:val="auto"/>
          <w:highlight w:val="none"/>
        </w:rPr>
        <w:t xml:space="preserve">  内装系统</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p>
    <w:p>
      <w:pPr>
        <w:numPr>
          <w:ilvl w:val="0"/>
          <w:numId w:val="21"/>
        </w:numPr>
        <w:rPr>
          <w:color w:val="auto"/>
          <w:highlight w:val="none"/>
        </w:rPr>
      </w:pPr>
      <w:r>
        <w:rPr>
          <w:rFonts w:hint="eastAsia"/>
          <w:color w:val="auto"/>
          <w:highlight w:val="none"/>
        </w:rPr>
        <w:t>内装系统应符合下列规定：</w:t>
      </w:r>
    </w:p>
    <w:p>
      <w:pPr>
        <w:ind w:firstLine="440" w:firstLineChars="200"/>
        <w:rPr>
          <w:color w:val="auto"/>
          <w:highlight w:val="none"/>
        </w:rPr>
      </w:pPr>
      <w:r>
        <w:rPr>
          <w:rFonts w:hint="eastAsia"/>
          <w:b/>
          <w:bCs/>
          <w:color w:val="auto"/>
          <w:highlight w:val="none"/>
        </w:rPr>
        <w:t>1</w:t>
      </w:r>
      <w:r>
        <w:rPr>
          <w:b/>
          <w:bCs/>
          <w:color w:val="auto"/>
          <w:highlight w:val="none"/>
        </w:rPr>
        <w:t xml:space="preserve">  </w:t>
      </w:r>
      <w:r>
        <w:rPr>
          <w:color w:val="auto"/>
          <w:highlight w:val="none"/>
        </w:rPr>
        <w:t>内装</w:t>
      </w:r>
      <w:r>
        <w:rPr>
          <w:rFonts w:hint="eastAsia"/>
          <w:color w:val="auto"/>
          <w:highlight w:val="none"/>
        </w:rPr>
        <w:t>系统的设计</w:t>
      </w:r>
      <w:r>
        <w:rPr>
          <w:color w:val="auto"/>
          <w:highlight w:val="none"/>
        </w:rPr>
        <w:t>应遵循标准化设计和模数协调的原则</w:t>
      </w:r>
      <w:r>
        <w:rPr>
          <w:rFonts w:hint="eastAsia"/>
          <w:color w:val="auto"/>
          <w:highlight w:val="none"/>
        </w:rPr>
        <w:t>，并应满足</w:t>
      </w:r>
      <w:r>
        <w:rPr>
          <w:color w:val="auto"/>
          <w:highlight w:val="none"/>
        </w:rPr>
        <w:t>室内功能和性能</w:t>
      </w:r>
      <w:r>
        <w:rPr>
          <w:rFonts w:hint="eastAsia"/>
          <w:color w:val="auto"/>
          <w:highlight w:val="none"/>
        </w:rPr>
        <w:t>的</w:t>
      </w:r>
      <w:r>
        <w:rPr>
          <w:color w:val="auto"/>
          <w:highlight w:val="none"/>
        </w:rPr>
        <w:t>要求</w:t>
      </w:r>
      <w:r>
        <w:rPr>
          <w:rFonts w:hint="eastAsia"/>
          <w:color w:val="auto"/>
          <w:highlight w:val="none"/>
        </w:rPr>
        <w:t>；</w:t>
      </w:r>
    </w:p>
    <w:p>
      <w:pPr>
        <w:ind w:firstLine="440" w:firstLineChars="200"/>
        <w:rPr>
          <w:color w:val="auto"/>
          <w:highlight w:val="none"/>
        </w:rPr>
      </w:pPr>
      <w:r>
        <w:rPr>
          <w:b/>
          <w:color w:val="auto"/>
          <w:highlight w:val="none"/>
        </w:rPr>
        <w:t xml:space="preserve">2  </w:t>
      </w:r>
      <w:r>
        <w:rPr>
          <w:rFonts w:hint="eastAsia"/>
          <w:color w:val="auto"/>
          <w:highlight w:val="none"/>
        </w:rPr>
        <w:t>模块单元内部装修，除模块单元拼接位置接口位置外，宜在工厂内完成，拼装过程均须有完整的检查记录，拼装完成后做好成品保护措施；</w:t>
      </w:r>
    </w:p>
    <w:p>
      <w:pPr>
        <w:ind w:firstLine="440" w:firstLineChars="200"/>
        <w:rPr>
          <w:color w:val="auto"/>
          <w:highlight w:val="none"/>
        </w:rPr>
      </w:pPr>
      <w:r>
        <w:rPr>
          <w:b/>
          <w:bCs/>
          <w:color w:val="auto"/>
          <w:highlight w:val="none"/>
        </w:rPr>
        <w:t xml:space="preserve">3  </w:t>
      </w:r>
      <w:r>
        <w:rPr>
          <w:rFonts w:hint="eastAsia"/>
          <w:color w:val="auto"/>
          <w:highlight w:val="none"/>
        </w:rPr>
        <w:t>内装修材料及部品应根据不同的使用年限，做到安全可靠，连接牢固，维护便利；</w:t>
      </w:r>
    </w:p>
    <w:p>
      <w:pPr>
        <w:ind w:firstLine="440" w:firstLineChars="200"/>
        <w:rPr>
          <w:color w:val="auto"/>
          <w:highlight w:val="none"/>
        </w:rPr>
      </w:pPr>
      <w:bookmarkStart w:id="858" w:name="_Toc5824"/>
      <w:bookmarkStart w:id="859" w:name="_Toc6549"/>
      <w:r>
        <w:rPr>
          <w:rFonts w:hint="eastAsia"/>
          <w:b/>
          <w:bCs/>
          <w:color w:val="auto"/>
          <w:highlight w:val="none"/>
        </w:rPr>
        <w:t>4</w:t>
      </w:r>
      <w:r>
        <w:rPr>
          <w:b/>
          <w:bCs/>
          <w:color w:val="auto"/>
          <w:highlight w:val="none"/>
        </w:rPr>
        <w:t xml:space="preserve">  </w:t>
      </w:r>
      <w:r>
        <w:rPr>
          <w:rFonts w:hint="eastAsia"/>
          <w:color w:val="auto"/>
          <w:highlight w:val="none"/>
        </w:rPr>
        <w:t>部品</w:t>
      </w:r>
      <w:r>
        <w:rPr>
          <w:color w:val="auto"/>
          <w:highlight w:val="none"/>
        </w:rPr>
        <w:t>应</w:t>
      </w:r>
      <w:r>
        <w:rPr>
          <w:rFonts w:hint="eastAsia"/>
          <w:color w:val="auto"/>
          <w:highlight w:val="none"/>
        </w:rPr>
        <w:t>根据规格和安装顺序</w:t>
      </w:r>
      <w:r>
        <w:rPr>
          <w:color w:val="auto"/>
          <w:highlight w:val="none"/>
        </w:rPr>
        <w:t>对部品进行统一编号。</w:t>
      </w:r>
      <w:bookmarkEnd w:id="858"/>
      <w:bookmarkEnd w:id="859"/>
    </w:p>
    <w:p>
      <w:pPr>
        <w:numPr>
          <w:ilvl w:val="0"/>
          <w:numId w:val="21"/>
        </w:numPr>
        <w:rPr>
          <w:color w:val="auto"/>
          <w:highlight w:val="none"/>
        </w:rPr>
      </w:pPr>
      <w:r>
        <w:rPr>
          <w:rFonts w:hint="eastAsia"/>
          <w:color w:val="auto"/>
          <w:highlight w:val="none"/>
        </w:rPr>
        <w:t>室内净高需结合功能需求确定，应满足国家现行标准《住宅项目规范》GB 55038、《住宅设计规范》GB 50096、《中小学校设计规范》GB 50099、《办公建筑设计标准》JGJ/T 67的有关要求。</w:t>
      </w:r>
    </w:p>
    <w:p>
      <w:pPr>
        <w:numPr>
          <w:ilvl w:val="0"/>
          <w:numId w:val="21"/>
        </w:numPr>
        <w:rPr>
          <w:color w:val="auto"/>
          <w:highlight w:val="none"/>
        </w:rPr>
      </w:pPr>
      <w:r>
        <w:rPr>
          <w:rFonts w:hint="eastAsia"/>
          <w:color w:val="auto"/>
          <w:highlight w:val="none"/>
        </w:rPr>
        <w:t>内装部品宜结合设备管线进行集成设计，内装部品的装配宜采用干式工法。</w:t>
      </w:r>
    </w:p>
    <w:p>
      <w:pPr>
        <w:numPr>
          <w:ilvl w:val="0"/>
          <w:numId w:val="21"/>
        </w:numPr>
        <w:rPr>
          <w:color w:val="auto"/>
          <w:highlight w:val="none"/>
        </w:rPr>
      </w:pPr>
      <w:r>
        <w:rPr>
          <w:rFonts w:hint="eastAsia"/>
          <w:color w:val="auto"/>
          <w:highlight w:val="none"/>
        </w:rPr>
        <w:t>内装系统的相关部品部件的尺寸、公差应与接口相协调，内装部品应具有通用性和互换性。</w:t>
      </w:r>
    </w:p>
    <w:p>
      <w:pPr>
        <w:numPr>
          <w:ilvl w:val="0"/>
          <w:numId w:val="21"/>
        </w:numPr>
        <w:rPr>
          <w:color w:val="auto"/>
          <w:highlight w:val="none"/>
        </w:rPr>
      </w:pPr>
      <w:r>
        <w:rPr>
          <w:rFonts w:hint="eastAsia"/>
          <w:color w:val="auto"/>
          <w:highlight w:val="none"/>
        </w:rPr>
        <w:t>楼地面系统宜选用集成化部品，宜采用干式施工工法的饰面材料，并应符合装配式楼地面系统集成设计的要求。</w:t>
      </w:r>
    </w:p>
    <w:p>
      <w:pPr>
        <w:numPr>
          <w:ilvl w:val="0"/>
          <w:numId w:val="21"/>
        </w:numPr>
        <w:rPr>
          <w:color w:val="auto"/>
          <w:highlight w:val="none"/>
        </w:rPr>
      </w:pPr>
      <w:r>
        <w:rPr>
          <w:rFonts w:hint="eastAsia"/>
          <w:color w:val="auto"/>
          <w:highlight w:val="none"/>
        </w:rPr>
        <w:t>模块单元内部的轻质隔墙宜采用轻钢龙骨隔墙或轻质条板隔墙，并应符合安全、可靠、空腔内设备管线安装等要求。</w:t>
      </w:r>
    </w:p>
    <w:p>
      <w:pPr>
        <w:numPr>
          <w:ilvl w:val="0"/>
          <w:numId w:val="21"/>
        </w:numPr>
        <w:rPr>
          <w:color w:val="auto"/>
          <w:highlight w:val="none"/>
        </w:rPr>
      </w:pPr>
      <w:r>
        <w:rPr>
          <w:rFonts w:hint="eastAsia"/>
          <w:color w:val="auto"/>
          <w:highlight w:val="none"/>
        </w:rPr>
        <w:t>模块单元内部的吊顶系统设计应满足室内净高的需求，并应符合装配式天花施工便捷，速度快，天花系统稳定性强的要求。</w:t>
      </w:r>
    </w:p>
    <w:p>
      <w:pPr>
        <w:numPr>
          <w:ilvl w:val="0"/>
          <w:numId w:val="21"/>
        </w:numPr>
        <w:rPr>
          <w:color w:val="auto"/>
          <w:highlight w:val="none"/>
        </w:rPr>
      </w:pPr>
      <w:r>
        <w:rPr>
          <w:rFonts w:hint="eastAsia"/>
          <w:color w:val="auto"/>
          <w:highlight w:val="none"/>
        </w:rPr>
        <w:t>内装修设计应体现二次机电末端点位，并应符合下列规定：</w:t>
      </w:r>
    </w:p>
    <w:p>
      <w:pPr>
        <w:ind w:firstLine="440" w:firstLineChars="200"/>
        <w:rPr>
          <w:color w:val="auto"/>
          <w:szCs w:val="21"/>
          <w:highlight w:val="none"/>
        </w:rPr>
      </w:pPr>
      <w:r>
        <w:rPr>
          <w:b/>
          <w:bCs/>
          <w:color w:val="auto"/>
          <w:szCs w:val="21"/>
          <w:highlight w:val="none"/>
        </w:rPr>
        <w:t>1</w:t>
      </w:r>
      <w:r>
        <w:rPr>
          <w:rFonts w:hint="eastAsia"/>
          <w:color w:val="auto"/>
          <w:szCs w:val="21"/>
          <w:highlight w:val="none"/>
        </w:rPr>
        <w:t xml:space="preserve"> </w:t>
      </w:r>
      <w:r>
        <w:rPr>
          <w:color w:val="auto"/>
          <w:szCs w:val="21"/>
          <w:highlight w:val="none"/>
        </w:rPr>
        <w:t xml:space="preserve"> </w:t>
      </w:r>
      <w:r>
        <w:rPr>
          <w:rFonts w:hint="eastAsia"/>
          <w:color w:val="auto"/>
          <w:szCs w:val="21"/>
          <w:highlight w:val="none"/>
        </w:rPr>
        <w:t>内装修设计应在一次机电基础上进行深化和末端定位，并应符合机电消防相关要求；</w:t>
      </w:r>
    </w:p>
    <w:p>
      <w:pPr>
        <w:ind w:firstLine="440" w:firstLineChars="200"/>
        <w:rPr>
          <w:b/>
          <w:color w:val="auto"/>
          <w:highlight w:val="none"/>
        </w:rPr>
      </w:pPr>
      <w:r>
        <w:rPr>
          <w:b/>
          <w:bCs/>
          <w:color w:val="auto"/>
          <w:szCs w:val="21"/>
          <w:highlight w:val="none"/>
        </w:rPr>
        <w:t xml:space="preserve">2  </w:t>
      </w:r>
      <w:r>
        <w:rPr>
          <w:color w:val="auto"/>
          <w:szCs w:val="21"/>
          <w:highlight w:val="none"/>
        </w:rPr>
        <w:t>内装修图纸应包含所有机电系统的平面图、尺寸图、连线图和综合点位图。</w:t>
      </w:r>
      <w:bookmarkStart w:id="860" w:name="_Toc16874"/>
      <w:bookmarkStart w:id="861" w:name="_Toc28672"/>
      <w:bookmarkStart w:id="862" w:name="_Toc32569"/>
      <w:bookmarkStart w:id="863" w:name="_Toc4864"/>
      <w:bookmarkStart w:id="864" w:name="_Toc7003"/>
      <w:bookmarkStart w:id="865" w:name="_Toc12545"/>
      <w:bookmarkStart w:id="866" w:name="_Toc29314"/>
      <w:bookmarkStart w:id="867" w:name="_Toc5007"/>
      <w:bookmarkStart w:id="868" w:name="_Toc4123"/>
      <w:bookmarkStart w:id="869" w:name="_Toc1871"/>
      <w:bookmarkStart w:id="870" w:name="_Toc8879"/>
      <w:bookmarkStart w:id="871" w:name="_Toc17822"/>
      <w:bookmarkStart w:id="872" w:name="_Toc24115"/>
      <w:bookmarkStart w:id="873" w:name="_Toc26377"/>
      <w:bookmarkStart w:id="874" w:name="_Toc11153"/>
      <w:bookmarkStart w:id="875" w:name="_Toc30053"/>
      <w:bookmarkStart w:id="876" w:name="_Toc32514"/>
      <w:bookmarkStart w:id="877" w:name="_Toc27494"/>
      <w:bookmarkStart w:id="878" w:name="_Toc29968"/>
      <w:bookmarkStart w:id="879" w:name="_Toc16182"/>
      <w:bookmarkStart w:id="880" w:name="_Toc19253"/>
      <w:bookmarkStart w:id="881" w:name="_Toc26477"/>
      <w:bookmarkStart w:id="882" w:name="_Toc29703"/>
      <w:bookmarkStart w:id="883" w:name="_Toc26084"/>
      <w:bookmarkStart w:id="884" w:name="_Toc31841"/>
      <w:bookmarkStart w:id="885" w:name="_Toc535"/>
      <w:bookmarkStart w:id="886" w:name="_Toc16254"/>
    </w:p>
    <w:p>
      <w:pPr>
        <w:pStyle w:val="4"/>
        <w:rPr>
          <w:color w:val="auto"/>
          <w:highlight w:val="none"/>
        </w:rPr>
      </w:pPr>
      <w:bookmarkStart w:id="887" w:name="_Toc2004"/>
      <w:bookmarkStart w:id="888" w:name="_Toc20044"/>
      <w:bookmarkStart w:id="889" w:name="_Toc444"/>
      <w:bookmarkStart w:id="890" w:name="_Toc27237"/>
      <w:bookmarkStart w:id="891" w:name="_Toc6015"/>
      <w:bookmarkStart w:id="892" w:name="_Toc20929"/>
      <w:r>
        <w:rPr>
          <w:rFonts w:hint="eastAsia"/>
          <w:b/>
          <w:bCs w:val="0"/>
          <w:color w:val="auto"/>
          <w:highlight w:val="none"/>
        </w:rPr>
        <w:t>7</w:t>
      </w:r>
      <w:r>
        <w:rPr>
          <w:rFonts w:hint="eastAsia" w:ascii="仿宋" w:hAnsi="仿宋" w:eastAsia="仿宋" w:cs="仿宋"/>
          <w:b/>
          <w:bCs w:val="0"/>
          <w:color w:val="auto"/>
          <w:highlight w:val="none"/>
        </w:rPr>
        <w:t>.</w:t>
      </w:r>
      <w:r>
        <w:rPr>
          <w:rFonts w:hint="eastAsia"/>
          <w:b/>
          <w:bCs w:val="0"/>
          <w:color w:val="auto"/>
          <w:highlight w:val="none"/>
        </w:rPr>
        <w:t>3</w:t>
      </w:r>
      <w:r>
        <w:rPr>
          <w:b/>
          <w:bCs w:val="0"/>
          <w:color w:val="auto"/>
          <w:highlight w:val="none"/>
        </w:rPr>
        <w:t xml:space="preserve">  </w:t>
      </w:r>
      <w:r>
        <w:rPr>
          <w:rFonts w:hint="eastAsia"/>
          <w:color w:val="auto"/>
          <w:highlight w:val="none"/>
        </w:rPr>
        <w:t>接口与连接</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pPr>
        <w:numPr>
          <w:ilvl w:val="0"/>
          <w:numId w:val="22"/>
        </w:numPr>
        <w:rPr>
          <w:color w:val="auto"/>
          <w:highlight w:val="none"/>
        </w:rPr>
      </w:pPr>
      <w:r>
        <w:rPr>
          <w:rFonts w:hint="eastAsia"/>
          <w:color w:val="auto"/>
          <w:szCs w:val="21"/>
          <w:highlight w:val="none"/>
        </w:rPr>
        <w:t>模块单元之间的内装修系统拼接应符合下列规定：</w:t>
      </w:r>
    </w:p>
    <w:p>
      <w:pPr>
        <w:tabs>
          <w:tab w:val="left" w:pos="0"/>
        </w:tabs>
        <w:ind w:firstLine="440" w:firstLineChars="200"/>
        <w:rPr>
          <w:color w:val="auto"/>
          <w:szCs w:val="21"/>
          <w:highlight w:val="none"/>
        </w:rPr>
      </w:pPr>
      <w:r>
        <w:rPr>
          <w:b/>
          <w:bCs/>
          <w:color w:val="auto"/>
          <w:szCs w:val="21"/>
          <w:highlight w:val="none"/>
        </w:rPr>
        <w:t>1</w:t>
      </w:r>
      <w:r>
        <w:rPr>
          <w:rFonts w:hint="eastAsia"/>
          <w:color w:val="auto"/>
          <w:szCs w:val="21"/>
          <w:highlight w:val="none"/>
        </w:rPr>
        <w:t xml:space="preserve">  模块单元在工厂装修时应预留现场施工的工作面，工作面尺寸应根据室内装修设计合理设置；</w:t>
      </w:r>
    </w:p>
    <w:p>
      <w:pPr>
        <w:tabs>
          <w:tab w:val="left" w:pos="0"/>
        </w:tabs>
        <w:ind w:firstLine="440" w:firstLineChars="200"/>
        <w:rPr>
          <w:bCs/>
          <w:color w:val="auto"/>
          <w:highlight w:val="none"/>
          <w:lang w:bidi="ar"/>
        </w:rPr>
      </w:pPr>
      <w:r>
        <w:rPr>
          <w:b/>
          <w:bCs/>
          <w:color w:val="auto"/>
          <w:szCs w:val="21"/>
          <w:highlight w:val="none"/>
        </w:rPr>
        <w:t>2</w:t>
      </w:r>
      <w:r>
        <w:rPr>
          <w:rFonts w:hint="eastAsia"/>
          <w:color w:val="auto"/>
          <w:highlight w:val="none"/>
        </w:rPr>
        <w:t xml:space="preserve">  装修接驳宜采用装配式装修技术，并应符合适用性、可靠性、美观性的要求</w:t>
      </w:r>
      <w:r>
        <w:rPr>
          <w:rFonts w:hint="eastAsia"/>
          <w:bCs/>
          <w:color w:val="auto"/>
          <w:highlight w:val="none"/>
          <w:lang w:bidi="ar"/>
        </w:rPr>
        <w:t>；</w:t>
      </w:r>
    </w:p>
    <w:p>
      <w:pPr>
        <w:tabs>
          <w:tab w:val="left" w:pos="0"/>
        </w:tabs>
        <w:ind w:firstLine="440" w:firstLineChars="200"/>
        <w:rPr>
          <w:color w:val="auto"/>
          <w:highlight w:val="none"/>
        </w:rPr>
      </w:pPr>
      <w:bookmarkStart w:id="893" w:name="_Toc23625"/>
      <w:bookmarkStart w:id="894" w:name="_Toc31597"/>
      <w:r>
        <w:rPr>
          <w:b/>
          <w:color w:val="auto"/>
          <w:highlight w:val="none"/>
          <w:lang w:bidi="ar"/>
        </w:rPr>
        <w:t>3</w:t>
      </w:r>
      <w:r>
        <w:rPr>
          <w:rFonts w:hint="eastAsia"/>
          <w:bCs/>
          <w:color w:val="auto"/>
          <w:highlight w:val="none"/>
          <w:lang w:bidi="ar"/>
        </w:rPr>
        <w:t xml:space="preserve">  </w:t>
      </w:r>
      <w:r>
        <w:rPr>
          <w:rFonts w:hint="eastAsia"/>
          <w:color w:val="auto"/>
          <w:highlight w:val="none"/>
        </w:rPr>
        <w:t>对于潮湿区域的拼接应进行整体的防水处理。</w:t>
      </w:r>
      <w:bookmarkEnd w:id="893"/>
      <w:bookmarkEnd w:id="894"/>
    </w:p>
    <w:p>
      <w:pPr>
        <w:numPr>
          <w:ilvl w:val="0"/>
          <w:numId w:val="22"/>
        </w:numPr>
        <w:rPr>
          <w:color w:val="auto"/>
          <w:szCs w:val="21"/>
          <w:highlight w:val="none"/>
        </w:rPr>
      </w:pPr>
      <w:r>
        <w:rPr>
          <w:rFonts w:hint="eastAsia"/>
          <w:color w:val="auto"/>
          <w:szCs w:val="21"/>
          <w:highlight w:val="none"/>
        </w:rPr>
        <w:t>内装部品、室内设备管线与主体结构的连接应符合下列规定：</w:t>
      </w:r>
    </w:p>
    <w:p>
      <w:pPr>
        <w:ind w:firstLine="440" w:firstLineChars="200"/>
        <w:rPr>
          <w:color w:val="auto"/>
          <w:szCs w:val="21"/>
          <w:highlight w:val="none"/>
        </w:rPr>
      </w:pPr>
      <w:bookmarkStart w:id="895" w:name="_Toc9475"/>
      <w:bookmarkStart w:id="896" w:name="_Toc13711"/>
      <w:r>
        <w:rPr>
          <w:b/>
          <w:bCs/>
          <w:color w:val="auto"/>
          <w:szCs w:val="21"/>
          <w:highlight w:val="none"/>
        </w:rPr>
        <w:t>1</w:t>
      </w:r>
      <w:r>
        <w:rPr>
          <w:rFonts w:hint="eastAsia"/>
          <w:color w:val="auto"/>
          <w:szCs w:val="21"/>
          <w:highlight w:val="none"/>
        </w:rPr>
        <w:t xml:space="preserve"> </w:t>
      </w:r>
      <w:r>
        <w:rPr>
          <w:color w:val="auto"/>
          <w:szCs w:val="21"/>
          <w:highlight w:val="none"/>
        </w:rPr>
        <w:t xml:space="preserve"> </w:t>
      </w:r>
      <w:r>
        <w:rPr>
          <w:rFonts w:hint="eastAsia"/>
          <w:color w:val="auto"/>
          <w:szCs w:val="21"/>
          <w:highlight w:val="none"/>
        </w:rPr>
        <w:t>在设计阶段宜明确主体结构的开洞尺寸及准确定位；</w:t>
      </w:r>
      <w:bookmarkEnd w:id="895"/>
      <w:bookmarkEnd w:id="896"/>
    </w:p>
    <w:p>
      <w:pPr>
        <w:ind w:firstLine="440" w:firstLineChars="200"/>
        <w:rPr>
          <w:rFonts w:hint="eastAsia" w:eastAsia="宋体"/>
          <w:color w:val="auto"/>
          <w:szCs w:val="21"/>
          <w:highlight w:val="none"/>
          <w:lang w:eastAsia="zh-CN"/>
        </w:rPr>
      </w:pPr>
      <w:r>
        <w:rPr>
          <w:b/>
          <w:bCs/>
          <w:color w:val="auto"/>
          <w:szCs w:val="21"/>
          <w:highlight w:val="none"/>
        </w:rPr>
        <w:t>2</w:t>
      </w:r>
      <w:r>
        <w:rPr>
          <w:rFonts w:hint="eastAsia"/>
          <w:color w:val="auto"/>
          <w:szCs w:val="21"/>
          <w:highlight w:val="none"/>
        </w:rPr>
        <w:t xml:space="preserve"> </w:t>
      </w:r>
      <w:r>
        <w:rPr>
          <w:color w:val="auto"/>
          <w:szCs w:val="21"/>
          <w:highlight w:val="none"/>
        </w:rPr>
        <w:t xml:space="preserve"> </w:t>
      </w:r>
      <w:r>
        <w:rPr>
          <w:rFonts w:hint="eastAsia"/>
          <w:color w:val="auto"/>
          <w:szCs w:val="21"/>
          <w:highlight w:val="none"/>
        </w:rPr>
        <w:t>宜采用预留预埋的安装方式；当采用其他安装固定方法时，不应影响模块单元各组件的完整性与结构安全</w:t>
      </w:r>
      <w:r>
        <w:rPr>
          <w:rFonts w:hint="eastAsia"/>
          <w:color w:val="auto"/>
          <w:szCs w:val="21"/>
          <w:highlight w:val="none"/>
          <w:lang w:eastAsia="zh-CN"/>
        </w:rPr>
        <w:t>。</w:t>
      </w:r>
    </w:p>
    <w:p>
      <w:pPr>
        <w:numPr>
          <w:ilvl w:val="0"/>
          <w:numId w:val="22"/>
        </w:numPr>
        <w:rPr>
          <w:color w:val="auto"/>
          <w:szCs w:val="21"/>
          <w:highlight w:val="none"/>
        </w:rPr>
      </w:pPr>
      <w:r>
        <w:rPr>
          <w:rFonts w:hint="eastAsia"/>
          <w:color w:val="auto"/>
          <w:szCs w:val="21"/>
          <w:highlight w:val="none"/>
        </w:rPr>
        <w:t>内装部品接口应做到位置固定、连接合理、拆装方便、使用可靠。</w:t>
      </w:r>
    </w:p>
    <w:p>
      <w:pPr>
        <w:numPr>
          <w:ilvl w:val="0"/>
          <w:numId w:val="22"/>
        </w:numPr>
        <w:rPr>
          <w:color w:val="auto"/>
          <w:szCs w:val="21"/>
          <w:highlight w:val="none"/>
        </w:rPr>
      </w:pPr>
      <w:r>
        <w:rPr>
          <w:rFonts w:hint="eastAsia"/>
          <w:color w:val="auto"/>
          <w:szCs w:val="21"/>
          <w:highlight w:val="none"/>
        </w:rPr>
        <w:t>轻质隔墙系统的墙板接缝处应进行密封处理，隔墙端部与结构系统应有可靠连接。</w:t>
      </w:r>
    </w:p>
    <w:p>
      <w:pPr>
        <w:numPr>
          <w:ilvl w:val="0"/>
          <w:numId w:val="22"/>
        </w:numPr>
        <w:rPr>
          <w:color w:val="auto"/>
          <w:szCs w:val="21"/>
          <w:highlight w:val="none"/>
        </w:rPr>
      </w:pPr>
      <w:r>
        <w:rPr>
          <w:rFonts w:hint="eastAsia"/>
          <w:color w:val="auto"/>
          <w:szCs w:val="21"/>
          <w:highlight w:val="none"/>
        </w:rPr>
        <w:t>集成式卫生间采用防水底兜时，底兜的固定安装不应破坏结构层，且底兜与壁板、壁板与壁板之间应有可靠连接设计，并应保证水密性。</w:t>
      </w:r>
    </w:p>
    <w:p>
      <w:pPr>
        <w:rPr>
          <w:color w:val="auto"/>
          <w:highlight w:val="none"/>
          <w:lang w:bidi="ar"/>
        </w:rPr>
        <w:sectPr>
          <w:pgSz w:w="11906" w:h="16838"/>
          <w:pgMar w:top="1610" w:right="1349" w:bottom="1213" w:left="1293" w:header="851" w:footer="992" w:gutter="0"/>
          <w:cols w:space="720" w:num="1"/>
          <w:docGrid w:type="linesAndChars" w:linePitch="333" w:charSpace="2165"/>
        </w:sectPr>
      </w:pPr>
    </w:p>
    <w:p>
      <w:pPr>
        <w:pStyle w:val="2"/>
        <w:rPr>
          <w:b/>
          <w:bCs w:val="0"/>
          <w:color w:val="auto"/>
          <w:highlight w:val="none"/>
        </w:rPr>
      </w:pPr>
      <w:bookmarkStart w:id="897" w:name="_Toc2444"/>
      <w:bookmarkStart w:id="898" w:name="_Toc4570"/>
      <w:bookmarkStart w:id="899" w:name="_Toc12591"/>
      <w:bookmarkStart w:id="900" w:name="_Toc17600"/>
      <w:bookmarkStart w:id="901" w:name="_Toc7880"/>
      <w:bookmarkStart w:id="902" w:name="_Toc10545"/>
      <w:bookmarkStart w:id="903" w:name="_Toc19289"/>
      <w:bookmarkStart w:id="904" w:name="_Toc27038"/>
      <w:bookmarkStart w:id="905" w:name="_Toc18168"/>
      <w:bookmarkStart w:id="906" w:name="_Toc5674"/>
      <w:bookmarkStart w:id="907" w:name="_Toc28754"/>
      <w:bookmarkStart w:id="908" w:name="_Toc6212"/>
      <w:bookmarkStart w:id="909" w:name="_Toc16470"/>
      <w:bookmarkStart w:id="910" w:name="_Toc13690"/>
      <w:bookmarkStart w:id="911" w:name="_Toc3790"/>
      <w:bookmarkStart w:id="912" w:name="_Toc9288"/>
      <w:bookmarkStart w:id="913" w:name="_Toc26087"/>
      <w:bookmarkStart w:id="914" w:name="_Toc22828"/>
      <w:bookmarkStart w:id="915" w:name="_Toc25982"/>
      <w:bookmarkStart w:id="916" w:name="_Toc26435"/>
      <w:bookmarkStart w:id="917" w:name="_Toc29710"/>
      <w:bookmarkStart w:id="918" w:name="_Toc627"/>
      <w:bookmarkStart w:id="919" w:name="_Toc17358"/>
      <w:bookmarkStart w:id="920" w:name="_Toc9875"/>
      <w:bookmarkStart w:id="921" w:name="_Toc8985"/>
      <w:bookmarkStart w:id="922" w:name="_Toc110952723"/>
      <w:bookmarkStart w:id="923" w:name="_Toc12291"/>
      <w:bookmarkStart w:id="924" w:name="_Toc6488"/>
      <w:bookmarkStart w:id="925" w:name="_Toc22062"/>
      <w:bookmarkStart w:id="926" w:name="_Toc12120"/>
      <w:bookmarkStart w:id="927" w:name="_Toc110958491"/>
      <w:bookmarkStart w:id="928" w:name="_Toc3625"/>
      <w:bookmarkStart w:id="929" w:name="_Toc18014"/>
      <w:bookmarkStart w:id="930" w:name="_Toc14231"/>
      <w:bookmarkStart w:id="931" w:name="_Toc348"/>
      <w:r>
        <w:rPr>
          <w:b/>
          <w:bCs w:val="0"/>
          <w:color w:val="auto"/>
          <w:highlight w:val="none"/>
        </w:rPr>
        <w:t>8</w:t>
      </w:r>
      <w:r>
        <w:rPr>
          <w:rFonts w:hint="eastAsia"/>
          <w:b/>
          <w:bCs w:val="0"/>
          <w:color w:val="auto"/>
          <w:highlight w:val="none"/>
        </w:rPr>
        <w:t xml:space="preserve">  制造与运输</w:t>
      </w:r>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p>
      <w:pPr>
        <w:pStyle w:val="4"/>
        <w:rPr>
          <w:color w:val="auto"/>
          <w:highlight w:val="none"/>
        </w:rPr>
      </w:pPr>
      <w:bookmarkStart w:id="932" w:name="_Toc22812"/>
      <w:bookmarkStart w:id="933" w:name="_Toc21068"/>
      <w:bookmarkStart w:id="934" w:name="_Toc110952724"/>
      <w:bookmarkStart w:id="935" w:name="_Toc18802"/>
      <w:bookmarkStart w:id="936" w:name="_Toc10445"/>
      <w:bookmarkStart w:id="937" w:name="_Toc32050"/>
      <w:bookmarkStart w:id="938" w:name="_Toc6208"/>
      <w:bookmarkStart w:id="939" w:name="_Toc21515"/>
      <w:bookmarkStart w:id="940" w:name="_Toc30499"/>
      <w:bookmarkStart w:id="941" w:name="_Toc4026"/>
      <w:bookmarkStart w:id="942" w:name="_Toc552"/>
      <w:bookmarkStart w:id="943" w:name="_Toc23566"/>
      <w:bookmarkStart w:id="944" w:name="_Toc22748"/>
      <w:bookmarkStart w:id="945" w:name="_Toc15316"/>
      <w:bookmarkStart w:id="946" w:name="_Toc25892"/>
      <w:bookmarkStart w:id="947" w:name="_Toc29733"/>
      <w:bookmarkStart w:id="948" w:name="_Toc12999"/>
      <w:bookmarkStart w:id="949" w:name="_Toc30177"/>
      <w:bookmarkStart w:id="950" w:name="_Toc15076"/>
      <w:bookmarkStart w:id="951" w:name="_Toc2146"/>
      <w:bookmarkStart w:id="952" w:name="_Toc110958492"/>
      <w:bookmarkStart w:id="953" w:name="_Toc26743"/>
      <w:bookmarkStart w:id="954" w:name="_Toc13448"/>
      <w:bookmarkStart w:id="955" w:name="_Toc16288"/>
      <w:bookmarkStart w:id="956" w:name="_Toc25476"/>
      <w:bookmarkStart w:id="957" w:name="_Toc27320"/>
      <w:bookmarkStart w:id="958" w:name="_Toc12582"/>
      <w:bookmarkStart w:id="959" w:name="_Toc20147"/>
      <w:bookmarkStart w:id="960" w:name="_Toc12556"/>
      <w:bookmarkStart w:id="961" w:name="_Toc15798"/>
      <w:bookmarkStart w:id="962" w:name="_Toc18928"/>
      <w:bookmarkStart w:id="963" w:name="_Toc17428"/>
      <w:bookmarkStart w:id="964" w:name="_Toc15284"/>
      <w:bookmarkStart w:id="965" w:name="_Toc14920"/>
      <w:bookmarkStart w:id="966" w:name="_Toc28841"/>
      <w:r>
        <w:rPr>
          <w:rFonts w:hint="eastAsia"/>
          <w:b/>
          <w:bCs w:val="0"/>
          <w:color w:val="auto"/>
          <w:highlight w:val="none"/>
        </w:rPr>
        <w:t>8</w:t>
      </w:r>
      <w:r>
        <w:rPr>
          <w:rFonts w:hint="eastAsia" w:ascii="宋体" w:hAnsi="宋体" w:eastAsia="宋体"/>
          <w:color w:val="auto"/>
          <w:szCs w:val="21"/>
          <w:highlight w:val="none"/>
        </w:rPr>
        <w:t>.</w:t>
      </w:r>
      <w:r>
        <w:rPr>
          <w:b/>
          <w:bCs w:val="0"/>
          <w:color w:val="auto"/>
          <w:highlight w:val="none"/>
        </w:rPr>
        <w:t>1</w:t>
      </w:r>
      <w:r>
        <w:rPr>
          <w:rFonts w:hint="eastAsia"/>
          <w:color w:val="auto"/>
          <w:highlight w:val="none"/>
        </w:rPr>
        <w:t xml:space="preserve">  一般规定</w:t>
      </w:r>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p>
    <w:p>
      <w:pPr>
        <w:numPr>
          <w:ilvl w:val="0"/>
          <w:numId w:val="23"/>
        </w:numPr>
        <w:tabs>
          <w:tab w:val="left" w:pos="141"/>
          <w:tab w:val="clear" w:pos="0"/>
        </w:tabs>
        <w:rPr>
          <w:color w:val="auto"/>
          <w:highlight w:val="none"/>
        </w:rPr>
      </w:pPr>
      <w:bookmarkStart w:id="967" w:name="_Toc110958493"/>
      <w:bookmarkStart w:id="968" w:name="_Toc110952725"/>
      <w:r>
        <w:rPr>
          <w:rFonts w:hint="eastAsia"/>
          <w:color w:val="auto"/>
          <w:highlight w:val="none"/>
        </w:rPr>
        <w:t>模块制造单位应具备满足模块化建筑质量要求的制造设施和试验检测条件，建立完善的质量管理体系，并宜建立质量可追溯的信息化管理系统。</w:t>
      </w:r>
    </w:p>
    <w:p>
      <w:pPr>
        <w:numPr>
          <w:ilvl w:val="0"/>
          <w:numId w:val="23"/>
        </w:numPr>
        <w:tabs>
          <w:tab w:val="left" w:pos="141"/>
          <w:tab w:val="clear" w:pos="0"/>
        </w:tabs>
        <w:rPr>
          <w:color w:val="auto"/>
          <w:highlight w:val="none"/>
        </w:rPr>
      </w:pPr>
      <w:r>
        <w:rPr>
          <w:rFonts w:hint="eastAsia"/>
          <w:color w:val="auto"/>
          <w:highlight w:val="none"/>
        </w:rPr>
        <w:t>模块单元制造前，应进行模块单元加工图设计，根据设计文件、制造详图的要求以及制造厂的条件，编制制造工艺书。</w:t>
      </w:r>
    </w:p>
    <w:p>
      <w:pPr>
        <w:numPr>
          <w:ilvl w:val="0"/>
          <w:numId w:val="23"/>
        </w:numPr>
        <w:tabs>
          <w:tab w:val="left" w:pos="141"/>
          <w:tab w:val="clear" w:pos="0"/>
        </w:tabs>
        <w:rPr>
          <w:color w:val="auto"/>
          <w:highlight w:val="none"/>
        </w:rPr>
      </w:pPr>
      <w:r>
        <w:rPr>
          <w:rFonts w:hint="eastAsia"/>
          <w:color w:val="auto"/>
          <w:highlight w:val="none"/>
        </w:rPr>
        <w:t>模块单元制造前，应对其原材料、制造设备等进行检验，合格后方可使用。</w:t>
      </w:r>
    </w:p>
    <w:p>
      <w:pPr>
        <w:numPr>
          <w:ilvl w:val="0"/>
          <w:numId w:val="23"/>
        </w:numPr>
        <w:tabs>
          <w:tab w:val="left" w:pos="141"/>
          <w:tab w:val="clear" w:pos="0"/>
        </w:tabs>
        <w:rPr>
          <w:color w:val="auto"/>
          <w:highlight w:val="none"/>
        </w:rPr>
      </w:pPr>
      <w:r>
        <w:rPr>
          <w:rFonts w:hint="eastAsia"/>
          <w:color w:val="auto"/>
          <w:highlight w:val="none"/>
        </w:rPr>
        <w:t>模块制造单位应对同类型模块产品</w:t>
      </w:r>
      <w:r>
        <w:rPr>
          <w:rFonts w:hint="eastAsia"/>
          <w:iCs/>
          <w:color w:val="auto"/>
          <w:highlight w:val="none"/>
        </w:rPr>
        <w:t>的首个进行制造，并按照本导则规定留存相应的验收资料，</w:t>
      </w:r>
      <w:r>
        <w:rPr>
          <w:rFonts w:hint="eastAsia"/>
          <w:color w:val="auto"/>
          <w:highlight w:val="none"/>
        </w:rPr>
        <w:t>经建设、设计、施工、制造、监理单位联合验收合格后方可进行批量制造。</w:t>
      </w:r>
    </w:p>
    <w:p>
      <w:pPr>
        <w:numPr>
          <w:ilvl w:val="0"/>
          <w:numId w:val="23"/>
        </w:numPr>
        <w:tabs>
          <w:tab w:val="left" w:pos="141"/>
          <w:tab w:val="clear" w:pos="0"/>
        </w:tabs>
        <w:rPr>
          <w:color w:val="auto"/>
          <w:highlight w:val="none"/>
        </w:rPr>
      </w:pPr>
      <w:r>
        <w:rPr>
          <w:rFonts w:hint="eastAsia"/>
          <w:iCs/>
          <w:color w:val="auto"/>
          <w:highlight w:val="none"/>
        </w:rPr>
        <w:t>模块单元制造前，应设计相应的吊具和防止模块单元倾覆的措施，并应采用适宜的厂内运输工具及起重、翻转设备，保证制造、运输、放置及安装时模块单元的平衡及安全。</w:t>
      </w:r>
    </w:p>
    <w:p>
      <w:pPr>
        <w:numPr>
          <w:ilvl w:val="0"/>
          <w:numId w:val="23"/>
        </w:numPr>
        <w:tabs>
          <w:tab w:val="left" w:pos="141"/>
          <w:tab w:val="clear" w:pos="0"/>
        </w:tabs>
        <w:rPr>
          <w:color w:val="auto"/>
          <w:highlight w:val="none"/>
        </w:rPr>
      </w:pPr>
      <w:r>
        <w:rPr>
          <w:rFonts w:hint="eastAsia"/>
          <w:iCs/>
          <w:color w:val="auto"/>
          <w:highlight w:val="none"/>
        </w:rPr>
        <w:t>模块单元制造前</w:t>
      </w:r>
      <w:r>
        <w:rPr>
          <w:rFonts w:hint="eastAsia"/>
          <w:color w:val="auto"/>
          <w:highlight w:val="none"/>
        </w:rPr>
        <w:t>应做好场地、人员、设备及安全防护等准备，制造单位应配备满足工厂制造需求的人员数量，并应对人员进行岗前培训，培训合格后方可上岗操作。</w:t>
      </w:r>
    </w:p>
    <w:bookmarkEnd w:id="967"/>
    <w:bookmarkEnd w:id="968"/>
    <w:p>
      <w:pPr>
        <w:pStyle w:val="4"/>
        <w:rPr>
          <w:color w:val="auto"/>
          <w:highlight w:val="none"/>
        </w:rPr>
      </w:pPr>
      <w:bookmarkStart w:id="969" w:name="_Toc24776"/>
      <w:bookmarkStart w:id="970" w:name="_Toc16700"/>
      <w:bookmarkStart w:id="971" w:name="_Toc16707"/>
      <w:bookmarkStart w:id="972" w:name="_Toc29559"/>
      <w:bookmarkStart w:id="973" w:name="_Toc26818"/>
      <w:bookmarkStart w:id="974" w:name="_Toc19299"/>
      <w:bookmarkStart w:id="975" w:name="_Toc16146"/>
      <w:bookmarkStart w:id="976" w:name="_Toc22450"/>
      <w:bookmarkStart w:id="977" w:name="_Toc110952726"/>
      <w:bookmarkStart w:id="978" w:name="_Toc110958494"/>
      <w:bookmarkStart w:id="979" w:name="_Toc21167"/>
      <w:bookmarkStart w:id="980" w:name="_Toc31788"/>
      <w:bookmarkStart w:id="981" w:name="_Toc20594"/>
      <w:bookmarkStart w:id="982" w:name="_Toc160"/>
      <w:bookmarkStart w:id="983" w:name="_Toc16463"/>
      <w:bookmarkStart w:id="984" w:name="_Toc2992"/>
      <w:bookmarkStart w:id="985" w:name="_Toc13705"/>
      <w:bookmarkStart w:id="986" w:name="_Toc28827"/>
      <w:bookmarkStart w:id="987" w:name="_Toc15877"/>
      <w:bookmarkStart w:id="988" w:name="_Toc27603"/>
      <w:bookmarkStart w:id="989" w:name="_Toc4110"/>
      <w:bookmarkStart w:id="990" w:name="_Toc13534"/>
      <w:bookmarkStart w:id="991" w:name="_Toc26395"/>
      <w:bookmarkStart w:id="992" w:name="_Toc8325"/>
      <w:bookmarkStart w:id="993" w:name="_Toc31275"/>
      <w:bookmarkStart w:id="994" w:name="_Toc31026"/>
      <w:bookmarkStart w:id="995" w:name="_Toc2203"/>
      <w:bookmarkStart w:id="996" w:name="_Toc24909"/>
      <w:bookmarkStart w:id="997" w:name="_Toc13647"/>
      <w:bookmarkStart w:id="998" w:name="_Toc32685"/>
      <w:bookmarkStart w:id="999" w:name="_Toc10380"/>
      <w:bookmarkStart w:id="1000" w:name="_Toc17637"/>
      <w:bookmarkStart w:id="1001" w:name="_Toc13898"/>
      <w:bookmarkStart w:id="1002" w:name="_Toc20603"/>
      <w:bookmarkStart w:id="1003" w:name="_Toc7387"/>
      <w:r>
        <w:rPr>
          <w:rFonts w:hint="eastAsia"/>
          <w:b/>
          <w:bCs w:val="0"/>
          <w:color w:val="auto"/>
          <w:highlight w:val="none"/>
        </w:rPr>
        <w:t>8</w:t>
      </w:r>
      <w:r>
        <w:rPr>
          <w:rFonts w:hint="eastAsia" w:ascii="宋体" w:hAnsi="宋体" w:eastAsia="宋体"/>
          <w:color w:val="auto"/>
          <w:szCs w:val="21"/>
          <w:highlight w:val="none"/>
        </w:rPr>
        <w:t>.</w:t>
      </w:r>
      <w:r>
        <w:rPr>
          <w:rFonts w:hint="eastAsia"/>
          <w:b/>
          <w:bCs w:val="0"/>
          <w:color w:val="auto"/>
          <w:highlight w:val="none"/>
        </w:rPr>
        <w:t>2</w:t>
      </w:r>
      <w:r>
        <w:rPr>
          <w:rFonts w:hint="eastAsia"/>
          <w:color w:val="auto"/>
          <w:highlight w:val="none"/>
        </w:rPr>
        <w:t xml:space="preserve">  模具</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r>
        <w:rPr>
          <w:rFonts w:hint="eastAsia"/>
          <w:color w:val="auto"/>
          <w:highlight w:val="none"/>
        </w:rPr>
        <w:t>、钢筋及预埋件</w:t>
      </w:r>
      <w:bookmarkEnd w:id="992"/>
      <w:bookmarkEnd w:id="993"/>
      <w:bookmarkEnd w:id="994"/>
      <w:bookmarkEnd w:id="995"/>
      <w:bookmarkEnd w:id="996"/>
      <w:bookmarkEnd w:id="997"/>
      <w:bookmarkEnd w:id="998"/>
      <w:bookmarkEnd w:id="999"/>
      <w:bookmarkEnd w:id="1000"/>
      <w:bookmarkEnd w:id="1001"/>
      <w:bookmarkEnd w:id="1002"/>
      <w:bookmarkEnd w:id="1003"/>
    </w:p>
    <w:p>
      <w:pPr>
        <w:numPr>
          <w:ilvl w:val="0"/>
          <w:numId w:val="24"/>
        </w:numPr>
        <w:rPr>
          <w:color w:val="auto"/>
          <w:highlight w:val="none"/>
        </w:rPr>
      </w:pPr>
      <w:r>
        <w:rPr>
          <w:rFonts w:hint="eastAsia"/>
          <w:color w:val="auto"/>
          <w:highlight w:val="none"/>
        </w:rPr>
        <w:t>模块制造应根据制造工艺、产品类型等制定模具方案，并应建立模具制作、验收、使用、维修、报废制度。</w:t>
      </w:r>
    </w:p>
    <w:p>
      <w:pPr>
        <w:numPr>
          <w:ilvl w:val="0"/>
          <w:numId w:val="24"/>
        </w:numPr>
        <w:rPr>
          <w:color w:val="auto"/>
          <w:highlight w:val="none"/>
        </w:rPr>
      </w:pPr>
      <w:r>
        <w:rPr>
          <w:rFonts w:hint="eastAsia"/>
          <w:color w:val="auto"/>
          <w:highlight w:val="none"/>
        </w:rPr>
        <w:t>模具应具有足够的强度、刚度和整体稳固性，并应符合下列规定：</w:t>
      </w:r>
    </w:p>
    <w:p>
      <w:pPr>
        <w:ind w:firstLine="440" w:firstLineChars="200"/>
        <w:rPr>
          <w:color w:val="auto"/>
          <w:highlight w:val="none"/>
        </w:rPr>
      </w:pPr>
      <w:r>
        <w:rPr>
          <w:b/>
          <w:color w:val="auto"/>
          <w:highlight w:val="none"/>
        </w:rPr>
        <w:t xml:space="preserve">1  </w:t>
      </w:r>
      <w:r>
        <w:rPr>
          <w:rFonts w:hint="eastAsia"/>
          <w:color w:val="auto"/>
          <w:highlight w:val="none"/>
        </w:rPr>
        <w:t>模具应装拆方便，并应满足预制模块质量、制造工艺和周转次数等要求；</w:t>
      </w:r>
    </w:p>
    <w:p>
      <w:pPr>
        <w:ind w:firstLine="440" w:firstLineChars="200"/>
        <w:rPr>
          <w:color w:val="auto"/>
          <w:highlight w:val="none"/>
        </w:rPr>
      </w:pPr>
      <w:bookmarkStart w:id="1004" w:name="_Toc19015"/>
      <w:bookmarkStart w:id="1005" w:name="_Toc10279"/>
      <w:r>
        <w:rPr>
          <w:b/>
          <w:color w:val="auto"/>
          <w:highlight w:val="none"/>
        </w:rPr>
        <w:t xml:space="preserve">2  </w:t>
      </w:r>
      <w:r>
        <w:rPr>
          <w:rFonts w:hint="eastAsia"/>
          <w:color w:val="auto"/>
          <w:highlight w:val="none"/>
        </w:rPr>
        <w:t>模具应制作样板，经检验合格后方可批量制作；</w:t>
      </w:r>
      <w:bookmarkEnd w:id="1004"/>
      <w:bookmarkEnd w:id="1005"/>
    </w:p>
    <w:p>
      <w:pPr>
        <w:ind w:firstLine="440" w:firstLineChars="200"/>
        <w:rPr>
          <w:color w:val="auto"/>
          <w:highlight w:val="none"/>
        </w:rPr>
      </w:pPr>
      <w:r>
        <w:rPr>
          <w:b/>
          <w:color w:val="auto"/>
          <w:highlight w:val="none"/>
        </w:rPr>
        <w:t xml:space="preserve">3  </w:t>
      </w:r>
      <w:r>
        <w:rPr>
          <w:rFonts w:hint="eastAsia"/>
          <w:color w:val="auto"/>
          <w:highlight w:val="none"/>
        </w:rPr>
        <w:t>模具各部件之间应连接牢固，接缝紧密，附带的预埋件或工装应定位准确，安装牢固；</w:t>
      </w:r>
    </w:p>
    <w:p>
      <w:pPr>
        <w:ind w:firstLine="440" w:firstLineChars="200"/>
        <w:rPr>
          <w:color w:val="auto"/>
          <w:highlight w:val="none"/>
        </w:rPr>
      </w:pPr>
      <w:r>
        <w:rPr>
          <w:b/>
          <w:color w:val="auto"/>
          <w:highlight w:val="none"/>
        </w:rPr>
        <w:t xml:space="preserve">4  </w:t>
      </w:r>
      <w:r>
        <w:rPr>
          <w:rFonts w:hint="eastAsia"/>
          <w:color w:val="auto"/>
          <w:highlight w:val="none"/>
        </w:rPr>
        <w:t>用作底模的台座、胎模应平整光洁，不得有下沉、裂缝、起砂和起鼓；</w:t>
      </w:r>
    </w:p>
    <w:p>
      <w:pPr>
        <w:ind w:firstLine="440" w:firstLineChars="200"/>
        <w:rPr>
          <w:color w:val="auto"/>
          <w:highlight w:val="none"/>
        </w:rPr>
      </w:pPr>
      <w:bookmarkStart w:id="1006" w:name="_Toc1934"/>
      <w:bookmarkStart w:id="1007" w:name="_Toc4842"/>
      <w:r>
        <w:rPr>
          <w:b/>
          <w:color w:val="auto"/>
          <w:highlight w:val="none"/>
        </w:rPr>
        <w:t xml:space="preserve">5  </w:t>
      </w:r>
      <w:r>
        <w:rPr>
          <w:rFonts w:hint="eastAsia"/>
          <w:color w:val="auto"/>
          <w:highlight w:val="none"/>
        </w:rPr>
        <w:t>对于高度大于</w:t>
      </w:r>
      <w:r>
        <w:rPr>
          <w:color w:val="auto"/>
          <w:highlight w:val="none"/>
        </w:rPr>
        <w:t>2m</w:t>
      </w:r>
      <w:r>
        <w:rPr>
          <w:rFonts w:hint="eastAsia"/>
          <w:color w:val="auto"/>
          <w:highlight w:val="none"/>
        </w:rPr>
        <w:t>的模具应满足高空作业的安全要求；</w:t>
      </w:r>
      <w:bookmarkEnd w:id="1006"/>
      <w:bookmarkEnd w:id="1007"/>
    </w:p>
    <w:p>
      <w:pPr>
        <w:ind w:firstLine="440" w:firstLineChars="200"/>
        <w:rPr>
          <w:color w:val="auto"/>
          <w:highlight w:val="none"/>
        </w:rPr>
      </w:pPr>
      <w:r>
        <w:rPr>
          <w:rFonts w:hint="eastAsia"/>
          <w:b/>
          <w:color w:val="auto"/>
          <w:highlight w:val="none"/>
        </w:rPr>
        <w:t>6</w:t>
      </w:r>
      <w:r>
        <w:rPr>
          <w:b/>
          <w:color w:val="auto"/>
          <w:highlight w:val="none"/>
        </w:rPr>
        <w:t xml:space="preserve">  </w:t>
      </w:r>
      <w:r>
        <w:rPr>
          <w:rFonts w:hint="eastAsia"/>
          <w:color w:val="auto"/>
          <w:highlight w:val="none"/>
        </w:rPr>
        <w:t>模具应采取防止变形和锈蚀的措施，侧模、预埋件和预留孔洞定位措施应定期进行检查。</w:t>
      </w:r>
    </w:p>
    <w:p>
      <w:pPr>
        <w:numPr>
          <w:ilvl w:val="0"/>
          <w:numId w:val="24"/>
        </w:numPr>
        <w:rPr>
          <w:color w:val="auto"/>
          <w:highlight w:val="none"/>
        </w:rPr>
      </w:pPr>
      <w:r>
        <w:rPr>
          <w:rFonts w:hint="eastAsia"/>
          <w:color w:val="auto"/>
          <w:highlight w:val="none"/>
        </w:rPr>
        <w:t>除设计有特殊要求外，模具尺寸偏差和检验方法应符合表8.2.3的规定。</w:t>
      </w:r>
    </w:p>
    <w:p>
      <w:pPr>
        <w:pStyle w:val="54"/>
        <w:rPr>
          <w:rFonts w:eastAsia="仿宋"/>
          <w:b/>
          <w:bCs/>
          <w:color w:val="auto"/>
          <w:sz w:val="21"/>
          <w:highlight w:val="none"/>
        </w:rPr>
      </w:pPr>
      <w:r>
        <w:rPr>
          <w:rFonts w:eastAsia="仿宋"/>
          <w:b/>
          <w:bCs/>
          <w:color w:val="auto"/>
          <w:sz w:val="21"/>
          <w:highlight w:val="none"/>
        </w:rPr>
        <w:t>表8</w:t>
      </w:r>
      <w:r>
        <w:rPr>
          <w:rFonts w:hint="eastAsia" w:ascii="仿宋" w:hAnsi="仿宋" w:eastAsia="仿宋" w:cs="仿宋"/>
          <w:b/>
          <w:bCs/>
          <w:color w:val="auto"/>
          <w:sz w:val="21"/>
          <w:highlight w:val="none"/>
        </w:rPr>
        <w:t>.</w:t>
      </w:r>
      <w:r>
        <w:rPr>
          <w:rFonts w:eastAsia="仿宋"/>
          <w:b/>
          <w:bCs/>
          <w:color w:val="auto"/>
          <w:sz w:val="21"/>
          <w:highlight w:val="none"/>
        </w:rPr>
        <w:t>2</w:t>
      </w:r>
      <w:r>
        <w:rPr>
          <w:rFonts w:hint="eastAsia" w:ascii="仿宋" w:hAnsi="仿宋" w:eastAsia="仿宋" w:cs="仿宋"/>
          <w:b/>
          <w:bCs/>
          <w:color w:val="auto"/>
          <w:sz w:val="21"/>
          <w:highlight w:val="none"/>
        </w:rPr>
        <w:t>.</w:t>
      </w:r>
      <w:r>
        <w:rPr>
          <w:rFonts w:eastAsia="仿宋"/>
          <w:b/>
          <w:bCs/>
          <w:color w:val="auto"/>
          <w:sz w:val="21"/>
          <w:highlight w:val="none"/>
        </w:rPr>
        <w:t>3  混凝土模块模具尺寸的允许偏差和检验方法</w:t>
      </w:r>
    </w:p>
    <w:tbl>
      <w:tblPr>
        <w:tblStyle w:val="24"/>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857"/>
        <w:gridCol w:w="1856"/>
        <w:gridCol w:w="1621"/>
        <w:gridCol w:w="40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6" w:hRule="atLeast"/>
          <w:tblHeader/>
          <w:jc w:val="center"/>
        </w:trPr>
        <w:tc>
          <w:tcPr>
            <w:tcW w:w="708" w:type="dxa"/>
            <w:vAlign w:val="center"/>
          </w:tcPr>
          <w:p>
            <w:pPr>
              <w:pStyle w:val="52"/>
              <w:rPr>
                <w:rFonts w:eastAsia="仿宋"/>
                <w:color w:val="auto"/>
                <w:sz w:val="21"/>
                <w:highlight w:val="none"/>
              </w:rPr>
            </w:pPr>
            <w:r>
              <w:rPr>
                <w:rFonts w:eastAsia="仿宋"/>
                <w:color w:val="auto"/>
                <w:sz w:val="21"/>
                <w:highlight w:val="none"/>
              </w:rPr>
              <w:t>项次</w:t>
            </w:r>
          </w:p>
        </w:tc>
        <w:tc>
          <w:tcPr>
            <w:tcW w:w="2713" w:type="dxa"/>
            <w:gridSpan w:val="2"/>
            <w:vAlign w:val="center"/>
          </w:tcPr>
          <w:p>
            <w:pPr>
              <w:pStyle w:val="52"/>
              <w:rPr>
                <w:rFonts w:eastAsia="仿宋"/>
                <w:color w:val="auto"/>
                <w:sz w:val="21"/>
                <w:highlight w:val="none"/>
              </w:rPr>
            </w:pPr>
            <w:r>
              <w:rPr>
                <w:rFonts w:eastAsia="仿宋"/>
                <w:color w:val="auto"/>
                <w:sz w:val="21"/>
                <w:highlight w:val="none"/>
              </w:rPr>
              <w:t>检测项目及内容</w:t>
            </w:r>
          </w:p>
        </w:tc>
        <w:tc>
          <w:tcPr>
            <w:tcW w:w="1621" w:type="dxa"/>
            <w:vAlign w:val="center"/>
          </w:tcPr>
          <w:p>
            <w:pPr>
              <w:pStyle w:val="52"/>
              <w:snapToGrid w:val="0"/>
              <w:rPr>
                <w:rFonts w:eastAsia="仿宋"/>
                <w:color w:val="auto"/>
                <w:sz w:val="21"/>
                <w:highlight w:val="none"/>
              </w:rPr>
            </w:pPr>
            <w:r>
              <w:rPr>
                <w:rFonts w:eastAsia="仿宋"/>
                <w:color w:val="auto"/>
                <w:sz w:val="21"/>
                <w:highlight w:val="none"/>
              </w:rPr>
              <w:t>允许偏差</w:t>
            </w:r>
          </w:p>
          <w:p>
            <w:pPr>
              <w:pStyle w:val="52"/>
              <w:snapToGrid w:val="0"/>
              <w:rPr>
                <w:rFonts w:eastAsia="仿宋"/>
                <w:color w:val="auto"/>
                <w:sz w:val="21"/>
                <w:highlight w:val="none"/>
              </w:rPr>
            </w:pPr>
            <w:r>
              <w:rPr>
                <w:rFonts w:eastAsia="仿宋"/>
                <w:color w:val="auto"/>
                <w:sz w:val="21"/>
                <w:highlight w:val="none"/>
              </w:rPr>
              <w:t>(mm)</w:t>
            </w:r>
          </w:p>
        </w:tc>
        <w:tc>
          <w:tcPr>
            <w:tcW w:w="4030" w:type="dxa"/>
            <w:vAlign w:val="center"/>
          </w:tcPr>
          <w:p>
            <w:pPr>
              <w:pStyle w:val="52"/>
              <w:rPr>
                <w:rFonts w:eastAsia="仿宋"/>
                <w:color w:val="auto"/>
                <w:sz w:val="21"/>
                <w:highlight w:val="none"/>
              </w:rPr>
            </w:pPr>
            <w:r>
              <w:rPr>
                <w:rFonts w:eastAsia="仿宋"/>
                <w:color w:val="auto"/>
                <w:sz w:val="21"/>
                <w:highlight w:val="none"/>
              </w:rPr>
              <w:t>检验方法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08" w:type="dxa"/>
            <w:vMerge w:val="restart"/>
            <w:vAlign w:val="center"/>
          </w:tcPr>
          <w:p>
            <w:pPr>
              <w:pStyle w:val="52"/>
              <w:rPr>
                <w:rFonts w:eastAsia="仿宋"/>
                <w:color w:val="auto"/>
                <w:sz w:val="21"/>
                <w:highlight w:val="none"/>
              </w:rPr>
            </w:pPr>
            <w:r>
              <w:rPr>
                <w:rFonts w:eastAsia="仿宋"/>
                <w:color w:val="auto"/>
                <w:sz w:val="21"/>
                <w:highlight w:val="none"/>
              </w:rPr>
              <w:t>1</w:t>
            </w:r>
          </w:p>
        </w:tc>
        <w:tc>
          <w:tcPr>
            <w:tcW w:w="857" w:type="dxa"/>
            <w:vMerge w:val="restart"/>
            <w:vAlign w:val="center"/>
          </w:tcPr>
          <w:p>
            <w:pPr>
              <w:pStyle w:val="52"/>
              <w:rPr>
                <w:rFonts w:eastAsia="仿宋"/>
                <w:color w:val="auto"/>
                <w:sz w:val="21"/>
                <w:highlight w:val="none"/>
              </w:rPr>
            </w:pPr>
            <w:r>
              <w:rPr>
                <w:rFonts w:eastAsia="仿宋"/>
                <w:color w:val="auto"/>
                <w:sz w:val="21"/>
                <w:highlight w:val="none"/>
              </w:rPr>
              <w:t>长度</w:t>
            </w:r>
          </w:p>
        </w:tc>
        <w:tc>
          <w:tcPr>
            <w:tcW w:w="1856" w:type="dxa"/>
            <w:vAlign w:val="center"/>
          </w:tcPr>
          <w:p>
            <w:pPr>
              <w:pStyle w:val="52"/>
              <w:rPr>
                <w:rFonts w:eastAsia="仿宋"/>
                <w:color w:val="auto"/>
                <w:sz w:val="21"/>
                <w:highlight w:val="none"/>
              </w:rPr>
            </w:pPr>
            <w:r>
              <w:rPr>
                <w:rFonts w:eastAsia="仿宋"/>
                <w:color w:val="auto"/>
                <w:sz w:val="21"/>
                <w:highlight w:val="none"/>
              </w:rPr>
              <w:t>≤6m</w:t>
            </w:r>
          </w:p>
        </w:tc>
        <w:tc>
          <w:tcPr>
            <w:tcW w:w="1621" w:type="dxa"/>
            <w:vAlign w:val="center"/>
          </w:tcPr>
          <w:p>
            <w:pPr>
              <w:pStyle w:val="52"/>
              <w:rPr>
                <w:rFonts w:eastAsia="仿宋"/>
                <w:color w:val="auto"/>
                <w:sz w:val="21"/>
                <w:highlight w:val="none"/>
              </w:rPr>
            </w:pPr>
            <w:r>
              <w:rPr>
                <w:rFonts w:eastAsia="仿宋"/>
                <w:color w:val="auto"/>
                <w:sz w:val="21"/>
                <w:highlight w:val="none"/>
              </w:rPr>
              <w:t>0</w:t>
            </w:r>
            <w:r>
              <w:rPr>
                <w:rFonts w:hint="eastAsia" w:eastAsia="仿宋"/>
                <w:color w:val="auto"/>
                <w:sz w:val="21"/>
                <w:highlight w:val="none"/>
                <w:lang w:eastAsia="zh-CN"/>
              </w:rPr>
              <w:t>,</w:t>
            </w:r>
            <w:r>
              <w:rPr>
                <w:rFonts w:eastAsia="仿宋"/>
                <w:color w:val="auto"/>
                <w:sz w:val="21"/>
                <w:highlight w:val="none"/>
              </w:rPr>
              <w:t>-3</w:t>
            </w:r>
          </w:p>
        </w:tc>
        <w:tc>
          <w:tcPr>
            <w:tcW w:w="4030" w:type="dxa"/>
            <w:vMerge w:val="restart"/>
            <w:vAlign w:val="center"/>
          </w:tcPr>
          <w:p>
            <w:pPr>
              <w:pStyle w:val="52"/>
              <w:jc w:val="left"/>
              <w:rPr>
                <w:rFonts w:eastAsia="仿宋"/>
                <w:color w:val="auto"/>
                <w:sz w:val="21"/>
                <w:highlight w:val="none"/>
              </w:rPr>
            </w:pPr>
            <w:r>
              <w:rPr>
                <w:rFonts w:eastAsia="仿宋"/>
                <w:color w:val="auto"/>
                <w:sz w:val="21"/>
                <w:highlight w:val="none"/>
              </w:rPr>
              <w:t>用钢尺、激光仪或摄影测量技术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08" w:type="dxa"/>
            <w:vMerge w:val="continue"/>
            <w:vAlign w:val="center"/>
          </w:tcPr>
          <w:p>
            <w:pPr>
              <w:pStyle w:val="52"/>
              <w:rPr>
                <w:rFonts w:eastAsia="仿宋"/>
                <w:color w:val="auto"/>
                <w:sz w:val="21"/>
                <w:highlight w:val="none"/>
              </w:rPr>
            </w:pPr>
          </w:p>
        </w:tc>
        <w:tc>
          <w:tcPr>
            <w:tcW w:w="857" w:type="dxa"/>
            <w:vMerge w:val="continue"/>
            <w:vAlign w:val="center"/>
          </w:tcPr>
          <w:p>
            <w:pPr>
              <w:pStyle w:val="52"/>
              <w:rPr>
                <w:rFonts w:eastAsia="仿宋"/>
                <w:color w:val="auto"/>
                <w:sz w:val="21"/>
                <w:highlight w:val="none"/>
              </w:rPr>
            </w:pPr>
          </w:p>
        </w:tc>
        <w:tc>
          <w:tcPr>
            <w:tcW w:w="1856" w:type="dxa"/>
            <w:vAlign w:val="center"/>
          </w:tcPr>
          <w:p>
            <w:pPr>
              <w:pStyle w:val="52"/>
              <w:rPr>
                <w:rFonts w:eastAsia="仿宋"/>
                <w:color w:val="auto"/>
                <w:sz w:val="21"/>
                <w:highlight w:val="none"/>
              </w:rPr>
            </w:pPr>
            <w:r>
              <w:rPr>
                <w:rFonts w:eastAsia="仿宋"/>
                <w:color w:val="auto"/>
                <w:sz w:val="21"/>
                <w:highlight w:val="none"/>
              </w:rPr>
              <w:t>&gt;6m且≤12m</w:t>
            </w:r>
          </w:p>
        </w:tc>
        <w:tc>
          <w:tcPr>
            <w:tcW w:w="1621" w:type="dxa"/>
            <w:vAlign w:val="center"/>
          </w:tcPr>
          <w:p>
            <w:pPr>
              <w:pStyle w:val="52"/>
              <w:rPr>
                <w:rFonts w:eastAsia="仿宋"/>
                <w:color w:val="auto"/>
                <w:sz w:val="21"/>
                <w:highlight w:val="none"/>
              </w:rPr>
            </w:pPr>
            <w:r>
              <w:rPr>
                <w:rFonts w:eastAsia="仿宋"/>
                <w:color w:val="auto"/>
                <w:sz w:val="21"/>
                <w:highlight w:val="none"/>
              </w:rPr>
              <w:t>0，-5</w:t>
            </w:r>
          </w:p>
        </w:tc>
        <w:tc>
          <w:tcPr>
            <w:tcW w:w="4030" w:type="dxa"/>
            <w:vMerge w:val="continue"/>
            <w:vAlign w:val="center"/>
          </w:tcPr>
          <w:p>
            <w:pPr>
              <w:pStyle w:val="52"/>
              <w:jc w:val="left"/>
              <w:rPr>
                <w:rFonts w:eastAsia="仿宋"/>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708" w:type="dxa"/>
            <w:vAlign w:val="center"/>
          </w:tcPr>
          <w:p>
            <w:pPr>
              <w:pStyle w:val="52"/>
              <w:rPr>
                <w:rFonts w:eastAsia="仿宋"/>
                <w:color w:val="auto"/>
                <w:sz w:val="21"/>
                <w:highlight w:val="none"/>
              </w:rPr>
            </w:pPr>
            <w:r>
              <w:rPr>
                <w:rFonts w:eastAsia="仿宋"/>
                <w:color w:val="auto"/>
                <w:sz w:val="21"/>
                <w:highlight w:val="none"/>
              </w:rPr>
              <w:t>2</w:t>
            </w:r>
          </w:p>
        </w:tc>
        <w:tc>
          <w:tcPr>
            <w:tcW w:w="857" w:type="dxa"/>
            <w:vAlign w:val="center"/>
          </w:tcPr>
          <w:p>
            <w:pPr>
              <w:pStyle w:val="52"/>
              <w:rPr>
                <w:rFonts w:eastAsia="仿宋"/>
                <w:color w:val="auto"/>
                <w:sz w:val="21"/>
                <w:highlight w:val="none"/>
              </w:rPr>
            </w:pPr>
            <w:r>
              <w:rPr>
                <w:rFonts w:eastAsia="仿宋"/>
                <w:color w:val="auto"/>
                <w:sz w:val="21"/>
                <w:highlight w:val="none"/>
              </w:rPr>
              <w:t>宽度</w:t>
            </w:r>
          </w:p>
        </w:tc>
        <w:tc>
          <w:tcPr>
            <w:tcW w:w="1856" w:type="dxa"/>
            <w:vAlign w:val="center"/>
          </w:tcPr>
          <w:p>
            <w:pPr>
              <w:pStyle w:val="52"/>
              <w:rPr>
                <w:rFonts w:eastAsia="仿宋"/>
                <w:color w:val="auto"/>
                <w:sz w:val="21"/>
                <w:highlight w:val="none"/>
              </w:rPr>
            </w:pPr>
            <w:r>
              <w:rPr>
                <w:rFonts w:eastAsia="仿宋"/>
                <w:color w:val="auto"/>
                <w:sz w:val="21"/>
                <w:highlight w:val="none"/>
              </w:rPr>
              <w:t>≤6m</w:t>
            </w:r>
          </w:p>
        </w:tc>
        <w:tc>
          <w:tcPr>
            <w:tcW w:w="1621" w:type="dxa"/>
            <w:vAlign w:val="center"/>
          </w:tcPr>
          <w:p>
            <w:pPr>
              <w:pStyle w:val="52"/>
              <w:rPr>
                <w:rFonts w:eastAsia="仿宋"/>
                <w:color w:val="auto"/>
                <w:sz w:val="21"/>
                <w:highlight w:val="none"/>
              </w:rPr>
            </w:pPr>
            <w:r>
              <w:rPr>
                <w:rFonts w:eastAsia="仿宋"/>
                <w:color w:val="auto"/>
                <w:sz w:val="21"/>
                <w:highlight w:val="none"/>
              </w:rPr>
              <w:t>0，-3</w:t>
            </w:r>
          </w:p>
        </w:tc>
        <w:tc>
          <w:tcPr>
            <w:tcW w:w="4030" w:type="dxa"/>
            <w:vAlign w:val="center"/>
          </w:tcPr>
          <w:p>
            <w:pPr>
              <w:pStyle w:val="52"/>
              <w:jc w:val="left"/>
              <w:rPr>
                <w:rFonts w:eastAsia="仿宋"/>
                <w:color w:val="auto"/>
                <w:sz w:val="21"/>
                <w:highlight w:val="none"/>
              </w:rPr>
            </w:pPr>
            <w:r>
              <w:rPr>
                <w:rFonts w:eastAsia="仿宋"/>
                <w:color w:val="auto"/>
                <w:sz w:val="21"/>
                <w:highlight w:val="none"/>
              </w:rPr>
              <w:t>用钢尺、激光仪或摄影测量技术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08" w:type="dxa"/>
            <w:vAlign w:val="center"/>
          </w:tcPr>
          <w:p>
            <w:pPr>
              <w:pStyle w:val="52"/>
              <w:rPr>
                <w:rFonts w:eastAsia="仿宋"/>
                <w:color w:val="auto"/>
                <w:sz w:val="21"/>
                <w:highlight w:val="none"/>
              </w:rPr>
            </w:pPr>
            <w:r>
              <w:rPr>
                <w:rFonts w:eastAsia="仿宋"/>
                <w:color w:val="auto"/>
                <w:sz w:val="21"/>
                <w:highlight w:val="none"/>
              </w:rPr>
              <w:t>3</w:t>
            </w:r>
          </w:p>
        </w:tc>
        <w:tc>
          <w:tcPr>
            <w:tcW w:w="857" w:type="dxa"/>
            <w:vAlign w:val="center"/>
          </w:tcPr>
          <w:p>
            <w:pPr>
              <w:pStyle w:val="52"/>
              <w:rPr>
                <w:rFonts w:eastAsia="仿宋"/>
                <w:color w:val="auto"/>
                <w:sz w:val="21"/>
                <w:highlight w:val="none"/>
              </w:rPr>
            </w:pPr>
            <w:r>
              <w:rPr>
                <w:rFonts w:eastAsia="仿宋"/>
                <w:color w:val="auto"/>
                <w:sz w:val="21"/>
                <w:highlight w:val="none"/>
              </w:rPr>
              <w:t>高度</w:t>
            </w:r>
          </w:p>
        </w:tc>
        <w:tc>
          <w:tcPr>
            <w:tcW w:w="1856" w:type="dxa"/>
            <w:vAlign w:val="center"/>
          </w:tcPr>
          <w:p>
            <w:pPr>
              <w:pStyle w:val="52"/>
              <w:rPr>
                <w:rFonts w:eastAsia="仿宋"/>
                <w:color w:val="auto"/>
                <w:sz w:val="21"/>
                <w:highlight w:val="none"/>
              </w:rPr>
            </w:pPr>
            <w:r>
              <w:rPr>
                <w:rFonts w:eastAsia="仿宋"/>
                <w:color w:val="auto"/>
                <w:sz w:val="21"/>
                <w:highlight w:val="none"/>
              </w:rPr>
              <w:t>≤6m</w:t>
            </w:r>
          </w:p>
        </w:tc>
        <w:tc>
          <w:tcPr>
            <w:tcW w:w="1621" w:type="dxa"/>
            <w:vAlign w:val="center"/>
          </w:tcPr>
          <w:p>
            <w:pPr>
              <w:pStyle w:val="52"/>
              <w:rPr>
                <w:rFonts w:eastAsia="仿宋"/>
                <w:color w:val="auto"/>
                <w:sz w:val="21"/>
                <w:highlight w:val="none"/>
              </w:rPr>
            </w:pPr>
            <w:r>
              <w:rPr>
                <w:rFonts w:eastAsia="仿宋"/>
                <w:color w:val="auto"/>
                <w:sz w:val="21"/>
                <w:highlight w:val="none"/>
              </w:rPr>
              <w:t>0，-3</w:t>
            </w:r>
          </w:p>
        </w:tc>
        <w:tc>
          <w:tcPr>
            <w:tcW w:w="4030" w:type="dxa"/>
            <w:vAlign w:val="center"/>
          </w:tcPr>
          <w:p>
            <w:pPr>
              <w:pStyle w:val="52"/>
              <w:jc w:val="left"/>
              <w:rPr>
                <w:rFonts w:eastAsia="仿宋"/>
                <w:color w:val="auto"/>
                <w:sz w:val="21"/>
                <w:highlight w:val="none"/>
              </w:rPr>
            </w:pPr>
            <w:r>
              <w:rPr>
                <w:rFonts w:eastAsia="仿宋"/>
                <w:color w:val="auto"/>
                <w:sz w:val="21"/>
                <w:highlight w:val="none"/>
              </w:rPr>
              <w:t>用钢尺、激光仪或摄影测量技术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08" w:type="dxa"/>
            <w:vAlign w:val="center"/>
          </w:tcPr>
          <w:p>
            <w:pPr>
              <w:pStyle w:val="52"/>
              <w:rPr>
                <w:rFonts w:eastAsia="仿宋"/>
                <w:color w:val="auto"/>
                <w:sz w:val="21"/>
                <w:highlight w:val="none"/>
              </w:rPr>
            </w:pPr>
            <w:r>
              <w:rPr>
                <w:rFonts w:eastAsia="仿宋"/>
                <w:color w:val="auto"/>
                <w:sz w:val="21"/>
                <w:highlight w:val="none"/>
              </w:rPr>
              <w:t>4</w:t>
            </w:r>
          </w:p>
        </w:tc>
        <w:tc>
          <w:tcPr>
            <w:tcW w:w="2713" w:type="dxa"/>
            <w:gridSpan w:val="2"/>
            <w:vAlign w:val="center"/>
          </w:tcPr>
          <w:p>
            <w:pPr>
              <w:pStyle w:val="52"/>
              <w:rPr>
                <w:rFonts w:eastAsia="仿宋"/>
                <w:color w:val="auto"/>
                <w:sz w:val="21"/>
                <w:highlight w:val="none"/>
              </w:rPr>
            </w:pPr>
            <w:r>
              <w:rPr>
                <w:rFonts w:eastAsia="仿宋"/>
                <w:color w:val="auto"/>
                <w:sz w:val="21"/>
                <w:highlight w:val="none"/>
              </w:rPr>
              <w:t>垂直度</w:t>
            </w:r>
          </w:p>
        </w:tc>
        <w:tc>
          <w:tcPr>
            <w:tcW w:w="1621" w:type="dxa"/>
            <w:vAlign w:val="center"/>
          </w:tcPr>
          <w:p>
            <w:pPr>
              <w:pStyle w:val="52"/>
              <w:rPr>
                <w:rFonts w:eastAsia="仿宋"/>
                <w:color w:val="auto"/>
                <w:sz w:val="21"/>
                <w:highlight w:val="none"/>
              </w:rPr>
            </w:pPr>
            <w:r>
              <w:rPr>
                <w:rFonts w:eastAsia="仿宋"/>
                <w:color w:val="auto"/>
                <w:sz w:val="21"/>
                <w:highlight w:val="none"/>
              </w:rPr>
              <w:t>2</w:t>
            </w:r>
          </w:p>
        </w:tc>
        <w:tc>
          <w:tcPr>
            <w:tcW w:w="4030" w:type="dxa"/>
            <w:vAlign w:val="center"/>
          </w:tcPr>
          <w:p>
            <w:pPr>
              <w:pStyle w:val="52"/>
              <w:jc w:val="left"/>
              <w:rPr>
                <w:rFonts w:eastAsia="仿宋"/>
                <w:color w:val="auto"/>
                <w:sz w:val="21"/>
                <w:highlight w:val="none"/>
              </w:rPr>
            </w:pPr>
            <w:r>
              <w:rPr>
                <w:rFonts w:eastAsia="仿宋"/>
                <w:color w:val="auto"/>
                <w:sz w:val="21"/>
                <w:highlight w:val="none"/>
              </w:rPr>
              <w:t>用经纬仪或吊线、钢尺、激光仪或摄影测量技术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08" w:type="dxa"/>
            <w:vAlign w:val="center"/>
          </w:tcPr>
          <w:p>
            <w:pPr>
              <w:pStyle w:val="52"/>
              <w:rPr>
                <w:rFonts w:eastAsia="仿宋"/>
                <w:color w:val="auto"/>
                <w:sz w:val="21"/>
                <w:highlight w:val="none"/>
              </w:rPr>
            </w:pPr>
            <w:r>
              <w:rPr>
                <w:rFonts w:hint="eastAsia" w:eastAsia="仿宋"/>
                <w:color w:val="auto"/>
                <w:sz w:val="21"/>
                <w:highlight w:val="none"/>
              </w:rPr>
              <w:t>5</w:t>
            </w:r>
          </w:p>
        </w:tc>
        <w:tc>
          <w:tcPr>
            <w:tcW w:w="2713" w:type="dxa"/>
            <w:gridSpan w:val="2"/>
            <w:vAlign w:val="center"/>
          </w:tcPr>
          <w:p>
            <w:pPr>
              <w:pStyle w:val="52"/>
              <w:rPr>
                <w:rFonts w:eastAsia="仿宋"/>
                <w:color w:val="auto"/>
                <w:sz w:val="21"/>
                <w:highlight w:val="none"/>
              </w:rPr>
            </w:pPr>
            <w:r>
              <w:rPr>
                <w:rFonts w:eastAsia="仿宋"/>
                <w:color w:val="auto"/>
                <w:sz w:val="21"/>
                <w:highlight w:val="none"/>
              </w:rPr>
              <w:t>对角线差</w:t>
            </w:r>
          </w:p>
        </w:tc>
        <w:tc>
          <w:tcPr>
            <w:tcW w:w="1621" w:type="dxa"/>
            <w:vAlign w:val="center"/>
          </w:tcPr>
          <w:p>
            <w:pPr>
              <w:pStyle w:val="52"/>
              <w:rPr>
                <w:rFonts w:eastAsia="仿宋"/>
                <w:color w:val="auto"/>
                <w:sz w:val="21"/>
                <w:highlight w:val="none"/>
              </w:rPr>
            </w:pPr>
            <w:r>
              <w:rPr>
                <w:rFonts w:eastAsia="仿宋"/>
                <w:color w:val="auto"/>
                <w:sz w:val="21"/>
                <w:highlight w:val="none"/>
              </w:rPr>
              <w:t>3</w:t>
            </w:r>
          </w:p>
        </w:tc>
        <w:tc>
          <w:tcPr>
            <w:tcW w:w="4030" w:type="dxa"/>
            <w:vAlign w:val="center"/>
          </w:tcPr>
          <w:p>
            <w:pPr>
              <w:pStyle w:val="52"/>
              <w:jc w:val="left"/>
              <w:rPr>
                <w:rFonts w:eastAsia="仿宋"/>
                <w:color w:val="auto"/>
                <w:sz w:val="21"/>
                <w:highlight w:val="none"/>
              </w:rPr>
            </w:pPr>
            <w:r>
              <w:rPr>
                <w:rFonts w:eastAsia="仿宋"/>
                <w:color w:val="auto"/>
                <w:sz w:val="21"/>
                <w:highlight w:val="none"/>
              </w:rPr>
              <w:t>对角拉线，用钢尺测量或摄影测量技术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08" w:type="dxa"/>
            <w:vAlign w:val="center"/>
          </w:tcPr>
          <w:p>
            <w:pPr>
              <w:pStyle w:val="52"/>
              <w:rPr>
                <w:rFonts w:eastAsia="仿宋"/>
                <w:color w:val="auto"/>
                <w:sz w:val="21"/>
                <w:highlight w:val="none"/>
              </w:rPr>
            </w:pPr>
            <w:r>
              <w:rPr>
                <w:rFonts w:hint="eastAsia" w:eastAsia="仿宋"/>
                <w:color w:val="auto"/>
                <w:sz w:val="21"/>
                <w:highlight w:val="none"/>
              </w:rPr>
              <w:t>6</w:t>
            </w:r>
          </w:p>
        </w:tc>
        <w:tc>
          <w:tcPr>
            <w:tcW w:w="2713" w:type="dxa"/>
            <w:gridSpan w:val="2"/>
            <w:vAlign w:val="center"/>
          </w:tcPr>
          <w:p>
            <w:pPr>
              <w:pStyle w:val="52"/>
              <w:rPr>
                <w:rFonts w:eastAsia="仿宋"/>
                <w:color w:val="auto"/>
                <w:sz w:val="21"/>
                <w:highlight w:val="none"/>
              </w:rPr>
            </w:pPr>
            <w:r>
              <w:rPr>
                <w:rFonts w:eastAsia="仿宋"/>
                <w:color w:val="auto"/>
                <w:sz w:val="21"/>
                <w:highlight w:val="none"/>
              </w:rPr>
              <w:t>侧向弯曲</w:t>
            </w:r>
          </w:p>
        </w:tc>
        <w:tc>
          <w:tcPr>
            <w:tcW w:w="1621" w:type="dxa"/>
            <w:vAlign w:val="center"/>
          </w:tcPr>
          <w:p>
            <w:pPr>
              <w:pStyle w:val="52"/>
              <w:rPr>
                <w:rFonts w:eastAsia="仿宋"/>
                <w:color w:val="auto"/>
                <w:sz w:val="21"/>
                <w:highlight w:val="none"/>
              </w:rPr>
            </w:pPr>
            <w:r>
              <w:rPr>
                <w:rFonts w:eastAsia="仿宋"/>
                <w:i/>
                <w:iCs/>
                <w:color w:val="auto"/>
                <w:sz w:val="21"/>
                <w:highlight w:val="none"/>
              </w:rPr>
              <w:t>l</w:t>
            </w:r>
            <w:r>
              <w:rPr>
                <w:rFonts w:eastAsia="仿宋"/>
                <w:color w:val="auto"/>
                <w:sz w:val="21"/>
                <w:highlight w:val="none"/>
              </w:rPr>
              <w:t>/1500且≤5</w:t>
            </w:r>
          </w:p>
        </w:tc>
        <w:tc>
          <w:tcPr>
            <w:tcW w:w="4030" w:type="dxa"/>
            <w:vAlign w:val="center"/>
          </w:tcPr>
          <w:p>
            <w:pPr>
              <w:pStyle w:val="52"/>
              <w:jc w:val="left"/>
              <w:rPr>
                <w:rFonts w:eastAsia="仿宋"/>
                <w:color w:val="auto"/>
                <w:sz w:val="21"/>
                <w:highlight w:val="none"/>
              </w:rPr>
            </w:pPr>
            <w:r>
              <w:rPr>
                <w:rFonts w:eastAsia="仿宋"/>
                <w:color w:val="auto"/>
                <w:sz w:val="21"/>
                <w:highlight w:val="none"/>
              </w:rPr>
              <w:t>拉线，用钢尺量测侧向弯曲最大处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08" w:type="dxa"/>
            <w:vAlign w:val="center"/>
          </w:tcPr>
          <w:p>
            <w:pPr>
              <w:pStyle w:val="52"/>
              <w:rPr>
                <w:rFonts w:eastAsia="仿宋"/>
                <w:color w:val="auto"/>
                <w:sz w:val="21"/>
                <w:highlight w:val="none"/>
              </w:rPr>
            </w:pPr>
            <w:r>
              <w:rPr>
                <w:rFonts w:hint="eastAsia" w:eastAsia="仿宋"/>
                <w:color w:val="auto"/>
                <w:sz w:val="21"/>
                <w:highlight w:val="none"/>
              </w:rPr>
              <w:t>7</w:t>
            </w:r>
          </w:p>
        </w:tc>
        <w:tc>
          <w:tcPr>
            <w:tcW w:w="2713" w:type="dxa"/>
            <w:gridSpan w:val="2"/>
            <w:vAlign w:val="center"/>
          </w:tcPr>
          <w:p>
            <w:pPr>
              <w:pStyle w:val="52"/>
              <w:rPr>
                <w:rFonts w:eastAsia="仿宋"/>
                <w:color w:val="auto"/>
                <w:sz w:val="21"/>
                <w:highlight w:val="none"/>
              </w:rPr>
            </w:pPr>
            <w:r>
              <w:rPr>
                <w:rFonts w:eastAsia="仿宋"/>
                <w:color w:val="auto"/>
                <w:sz w:val="21"/>
                <w:highlight w:val="none"/>
              </w:rPr>
              <w:t>翘曲</w:t>
            </w:r>
          </w:p>
        </w:tc>
        <w:tc>
          <w:tcPr>
            <w:tcW w:w="1621" w:type="dxa"/>
            <w:vAlign w:val="center"/>
          </w:tcPr>
          <w:p>
            <w:pPr>
              <w:pStyle w:val="52"/>
              <w:rPr>
                <w:rFonts w:eastAsia="仿宋"/>
                <w:color w:val="auto"/>
                <w:sz w:val="21"/>
                <w:highlight w:val="none"/>
              </w:rPr>
            </w:pPr>
            <w:r>
              <w:rPr>
                <w:rFonts w:eastAsia="仿宋"/>
                <w:i/>
                <w:iCs/>
                <w:color w:val="auto"/>
                <w:sz w:val="21"/>
                <w:highlight w:val="none"/>
              </w:rPr>
              <w:t>l</w:t>
            </w:r>
            <w:r>
              <w:rPr>
                <w:rFonts w:eastAsia="仿宋"/>
                <w:color w:val="auto"/>
                <w:sz w:val="21"/>
                <w:highlight w:val="none"/>
              </w:rPr>
              <w:t>/1500</w:t>
            </w:r>
          </w:p>
        </w:tc>
        <w:tc>
          <w:tcPr>
            <w:tcW w:w="4030" w:type="dxa"/>
            <w:vAlign w:val="center"/>
          </w:tcPr>
          <w:p>
            <w:pPr>
              <w:pStyle w:val="52"/>
              <w:jc w:val="left"/>
              <w:rPr>
                <w:rFonts w:eastAsia="仿宋"/>
                <w:color w:val="auto"/>
                <w:sz w:val="21"/>
                <w:highlight w:val="none"/>
              </w:rPr>
            </w:pPr>
            <w:r>
              <w:rPr>
                <w:rFonts w:eastAsia="仿宋"/>
                <w:color w:val="auto"/>
                <w:sz w:val="21"/>
                <w:highlight w:val="none"/>
              </w:rPr>
              <w:t>对角拉线测量交点间距离值的两倍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08" w:type="dxa"/>
            <w:vAlign w:val="center"/>
          </w:tcPr>
          <w:p>
            <w:pPr>
              <w:pStyle w:val="52"/>
              <w:rPr>
                <w:rFonts w:eastAsia="仿宋"/>
                <w:color w:val="auto"/>
                <w:sz w:val="21"/>
                <w:highlight w:val="none"/>
              </w:rPr>
            </w:pPr>
            <w:r>
              <w:rPr>
                <w:rFonts w:hint="eastAsia" w:eastAsia="仿宋"/>
                <w:color w:val="auto"/>
                <w:sz w:val="21"/>
                <w:highlight w:val="none"/>
              </w:rPr>
              <w:t>8</w:t>
            </w:r>
          </w:p>
        </w:tc>
        <w:tc>
          <w:tcPr>
            <w:tcW w:w="2713" w:type="dxa"/>
            <w:gridSpan w:val="2"/>
            <w:vAlign w:val="center"/>
          </w:tcPr>
          <w:p>
            <w:pPr>
              <w:pStyle w:val="52"/>
              <w:rPr>
                <w:rFonts w:eastAsia="仿宋"/>
                <w:color w:val="auto"/>
                <w:sz w:val="21"/>
                <w:highlight w:val="none"/>
              </w:rPr>
            </w:pPr>
            <w:r>
              <w:rPr>
                <w:rFonts w:eastAsia="仿宋"/>
                <w:color w:val="auto"/>
                <w:sz w:val="21"/>
                <w:highlight w:val="none"/>
              </w:rPr>
              <w:t>模具表面平整度</w:t>
            </w:r>
          </w:p>
        </w:tc>
        <w:tc>
          <w:tcPr>
            <w:tcW w:w="1621" w:type="dxa"/>
            <w:vAlign w:val="center"/>
          </w:tcPr>
          <w:p>
            <w:pPr>
              <w:pStyle w:val="52"/>
              <w:rPr>
                <w:rFonts w:eastAsia="仿宋"/>
                <w:color w:val="auto"/>
                <w:sz w:val="21"/>
                <w:highlight w:val="none"/>
              </w:rPr>
            </w:pPr>
            <w:r>
              <w:rPr>
                <w:rFonts w:eastAsia="仿宋"/>
                <w:color w:val="auto"/>
                <w:sz w:val="21"/>
                <w:highlight w:val="none"/>
              </w:rPr>
              <w:t>2</w:t>
            </w:r>
          </w:p>
        </w:tc>
        <w:tc>
          <w:tcPr>
            <w:tcW w:w="4030" w:type="dxa"/>
            <w:vAlign w:val="center"/>
          </w:tcPr>
          <w:p>
            <w:pPr>
              <w:pStyle w:val="52"/>
              <w:jc w:val="left"/>
              <w:rPr>
                <w:rFonts w:eastAsia="仿宋"/>
                <w:color w:val="auto"/>
                <w:sz w:val="21"/>
                <w:highlight w:val="none"/>
              </w:rPr>
            </w:pPr>
            <w:r>
              <w:rPr>
                <w:rFonts w:eastAsia="仿宋"/>
                <w:color w:val="auto"/>
                <w:sz w:val="21"/>
                <w:highlight w:val="none"/>
              </w:rPr>
              <w:t>用2m靠尺和塞尺量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08" w:type="dxa"/>
            <w:vAlign w:val="center"/>
          </w:tcPr>
          <w:p>
            <w:pPr>
              <w:pStyle w:val="52"/>
              <w:rPr>
                <w:rFonts w:eastAsia="仿宋"/>
                <w:color w:val="auto"/>
                <w:sz w:val="21"/>
                <w:highlight w:val="none"/>
              </w:rPr>
            </w:pPr>
            <w:r>
              <w:rPr>
                <w:rFonts w:hint="eastAsia" w:eastAsia="仿宋"/>
                <w:color w:val="auto"/>
                <w:sz w:val="21"/>
                <w:highlight w:val="none"/>
              </w:rPr>
              <w:t>9</w:t>
            </w:r>
          </w:p>
        </w:tc>
        <w:tc>
          <w:tcPr>
            <w:tcW w:w="2713" w:type="dxa"/>
            <w:gridSpan w:val="2"/>
            <w:vAlign w:val="center"/>
          </w:tcPr>
          <w:p>
            <w:pPr>
              <w:pStyle w:val="52"/>
              <w:rPr>
                <w:rFonts w:eastAsia="仿宋"/>
                <w:color w:val="auto"/>
                <w:sz w:val="21"/>
                <w:highlight w:val="none"/>
              </w:rPr>
            </w:pPr>
            <w:r>
              <w:rPr>
                <w:rFonts w:eastAsia="仿宋"/>
                <w:color w:val="auto"/>
                <w:sz w:val="21"/>
                <w:highlight w:val="none"/>
              </w:rPr>
              <w:t>组装缝隙</w:t>
            </w:r>
          </w:p>
        </w:tc>
        <w:tc>
          <w:tcPr>
            <w:tcW w:w="1621" w:type="dxa"/>
            <w:vAlign w:val="center"/>
          </w:tcPr>
          <w:p>
            <w:pPr>
              <w:pStyle w:val="52"/>
              <w:rPr>
                <w:rFonts w:eastAsia="仿宋"/>
                <w:color w:val="auto"/>
                <w:sz w:val="21"/>
                <w:highlight w:val="none"/>
              </w:rPr>
            </w:pPr>
            <w:r>
              <w:rPr>
                <w:rFonts w:eastAsia="仿宋"/>
                <w:color w:val="auto"/>
                <w:sz w:val="21"/>
                <w:highlight w:val="none"/>
              </w:rPr>
              <w:t>1</w:t>
            </w:r>
          </w:p>
        </w:tc>
        <w:tc>
          <w:tcPr>
            <w:tcW w:w="4030" w:type="dxa"/>
            <w:vAlign w:val="center"/>
          </w:tcPr>
          <w:p>
            <w:pPr>
              <w:pStyle w:val="52"/>
              <w:jc w:val="left"/>
              <w:rPr>
                <w:rFonts w:eastAsia="仿宋"/>
                <w:color w:val="auto"/>
                <w:sz w:val="21"/>
                <w:highlight w:val="none"/>
              </w:rPr>
            </w:pPr>
            <w:r>
              <w:rPr>
                <w:rFonts w:eastAsia="仿宋"/>
                <w:color w:val="auto"/>
                <w:sz w:val="21"/>
                <w:highlight w:val="none"/>
              </w:rPr>
              <w:t>用塞片或塞尺量</w:t>
            </w:r>
          </w:p>
        </w:tc>
      </w:tr>
    </w:tbl>
    <w:p>
      <w:pPr>
        <w:pStyle w:val="56"/>
        <w:ind w:firstLine="380" w:firstLineChars="200"/>
        <w:rPr>
          <w:rFonts w:eastAsia="仿宋"/>
          <w:color w:val="auto"/>
          <w:sz w:val="18"/>
          <w:szCs w:val="18"/>
          <w:highlight w:val="none"/>
        </w:rPr>
      </w:pPr>
      <w:r>
        <w:rPr>
          <w:rFonts w:eastAsia="仿宋"/>
          <w:color w:val="auto"/>
          <w:sz w:val="18"/>
          <w:szCs w:val="18"/>
          <w:highlight w:val="none"/>
        </w:rPr>
        <w:t>注：</w:t>
      </w:r>
      <w:r>
        <w:rPr>
          <w:rFonts w:eastAsia="仿宋"/>
          <w:i/>
          <w:color w:val="auto"/>
          <w:sz w:val="18"/>
          <w:szCs w:val="18"/>
          <w:highlight w:val="none"/>
        </w:rPr>
        <w:t>l</w:t>
      </w:r>
      <w:r>
        <w:rPr>
          <w:rFonts w:eastAsia="仿宋"/>
          <w:color w:val="auto"/>
          <w:sz w:val="18"/>
          <w:szCs w:val="18"/>
          <w:highlight w:val="none"/>
        </w:rPr>
        <w:t>为模具与混凝土接触面中最长边的尺寸</w:t>
      </w:r>
    </w:p>
    <w:p>
      <w:pPr>
        <w:numPr>
          <w:ilvl w:val="0"/>
          <w:numId w:val="24"/>
        </w:numPr>
        <w:rPr>
          <w:color w:val="auto"/>
          <w:highlight w:val="none"/>
        </w:rPr>
      </w:pPr>
      <w:r>
        <w:rPr>
          <w:rFonts w:hint="eastAsia"/>
          <w:color w:val="auto"/>
          <w:highlight w:val="none"/>
        </w:rPr>
        <w:t>模块单元上的预埋件和预留孔洞宜通过模具进行定位，并安装牢固，其安装偏差应符合表8.2.4的规定。</w:t>
      </w:r>
    </w:p>
    <w:p>
      <w:pPr>
        <w:pStyle w:val="54"/>
        <w:rPr>
          <w:rFonts w:eastAsia="仿宋"/>
          <w:b/>
          <w:bCs/>
          <w:color w:val="auto"/>
          <w:sz w:val="21"/>
          <w:highlight w:val="none"/>
        </w:rPr>
      </w:pPr>
      <w:r>
        <w:rPr>
          <w:rFonts w:eastAsia="仿宋"/>
          <w:b/>
          <w:bCs/>
          <w:color w:val="auto"/>
          <w:sz w:val="21"/>
          <w:highlight w:val="none"/>
        </w:rPr>
        <w:t>表8</w:t>
      </w:r>
      <w:r>
        <w:rPr>
          <w:rFonts w:hint="eastAsia" w:ascii="仿宋" w:hAnsi="仿宋" w:eastAsia="仿宋" w:cs="仿宋"/>
          <w:b/>
          <w:bCs/>
          <w:color w:val="auto"/>
          <w:sz w:val="21"/>
          <w:highlight w:val="none"/>
        </w:rPr>
        <w:t>.</w:t>
      </w:r>
      <w:r>
        <w:rPr>
          <w:rFonts w:eastAsia="仿宋"/>
          <w:b/>
          <w:bCs/>
          <w:color w:val="auto"/>
          <w:sz w:val="21"/>
          <w:highlight w:val="none"/>
        </w:rPr>
        <w:t>2</w:t>
      </w:r>
      <w:r>
        <w:rPr>
          <w:rFonts w:hint="eastAsia" w:ascii="仿宋" w:hAnsi="仿宋" w:eastAsia="仿宋" w:cs="仿宋"/>
          <w:b/>
          <w:bCs/>
          <w:color w:val="auto"/>
          <w:sz w:val="21"/>
          <w:highlight w:val="none"/>
        </w:rPr>
        <w:t>.</w:t>
      </w:r>
      <w:r>
        <w:rPr>
          <w:rFonts w:eastAsia="仿宋"/>
          <w:b/>
          <w:bCs/>
          <w:color w:val="auto"/>
          <w:sz w:val="21"/>
          <w:highlight w:val="none"/>
        </w:rPr>
        <w:t>4  模具上预埋件、预留孔洞安装允许偏差</w:t>
      </w:r>
    </w:p>
    <w:tbl>
      <w:tblPr>
        <w:tblStyle w:val="24"/>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2253"/>
        <w:gridCol w:w="1784"/>
        <w:gridCol w:w="1294"/>
        <w:gridCol w:w="29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8" w:hRule="atLeast"/>
          <w:tblHeader/>
          <w:jc w:val="center"/>
        </w:trPr>
        <w:tc>
          <w:tcPr>
            <w:tcW w:w="457" w:type="pct"/>
            <w:vAlign w:val="center"/>
          </w:tcPr>
          <w:p>
            <w:pPr>
              <w:pStyle w:val="52"/>
              <w:snapToGrid w:val="0"/>
              <w:rPr>
                <w:rFonts w:eastAsia="仿宋"/>
                <w:color w:val="auto"/>
                <w:sz w:val="21"/>
                <w:highlight w:val="none"/>
              </w:rPr>
            </w:pPr>
            <w:r>
              <w:rPr>
                <w:rFonts w:eastAsia="仿宋"/>
                <w:color w:val="auto"/>
                <w:sz w:val="21"/>
                <w:highlight w:val="none"/>
              </w:rPr>
              <w:t>项次</w:t>
            </w:r>
          </w:p>
        </w:tc>
        <w:tc>
          <w:tcPr>
            <w:tcW w:w="2225" w:type="pct"/>
            <w:gridSpan w:val="2"/>
            <w:vAlign w:val="center"/>
          </w:tcPr>
          <w:p>
            <w:pPr>
              <w:pStyle w:val="52"/>
              <w:snapToGrid w:val="0"/>
              <w:rPr>
                <w:rFonts w:eastAsia="仿宋"/>
                <w:color w:val="auto"/>
                <w:sz w:val="21"/>
                <w:highlight w:val="none"/>
              </w:rPr>
            </w:pPr>
            <w:r>
              <w:rPr>
                <w:rFonts w:eastAsia="仿宋"/>
                <w:color w:val="auto"/>
                <w:sz w:val="21"/>
                <w:highlight w:val="none"/>
              </w:rPr>
              <w:t>检测项目及内容</w:t>
            </w:r>
          </w:p>
        </w:tc>
        <w:tc>
          <w:tcPr>
            <w:tcW w:w="713" w:type="pct"/>
            <w:vAlign w:val="center"/>
          </w:tcPr>
          <w:p>
            <w:pPr>
              <w:pStyle w:val="52"/>
              <w:snapToGrid w:val="0"/>
              <w:rPr>
                <w:rFonts w:eastAsia="仿宋"/>
                <w:color w:val="auto"/>
                <w:sz w:val="21"/>
                <w:highlight w:val="none"/>
              </w:rPr>
            </w:pPr>
            <w:r>
              <w:rPr>
                <w:rFonts w:eastAsia="仿宋"/>
                <w:color w:val="auto"/>
                <w:sz w:val="21"/>
                <w:highlight w:val="none"/>
              </w:rPr>
              <w:t>允许偏差(mm)</w:t>
            </w:r>
          </w:p>
        </w:tc>
        <w:tc>
          <w:tcPr>
            <w:tcW w:w="1605" w:type="pct"/>
            <w:vAlign w:val="center"/>
          </w:tcPr>
          <w:p>
            <w:pPr>
              <w:pStyle w:val="52"/>
              <w:snapToGrid w:val="0"/>
              <w:rPr>
                <w:rFonts w:eastAsia="仿宋"/>
                <w:color w:val="auto"/>
                <w:sz w:val="21"/>
                <w:highlight w:val="none"/>
              </w:rPr>
            </w:pPr>
            <w:r>
              <w:rPr>
                <w:rFonts w:eastAsia="仿宋"/>
                <w:color w:val="auto"/>
                <w:sz w:val="21"/>
                <w:highlight w:val="none"/>
              </w:rPr>
              <w:t>检验方法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457" w:type="pct"/>
            <w:vMerge w:val="restart"/>
            <w:vAlign w:val="center"/>
          </w:tcPr>
          <w:p>
            <w:pPr>
              <w:pStyle w:val="52"/>
              <w:snapToGrid w:val="0"/>
              <w:rPr>
                <w:rFonts w:eastAsia="仿宋"/>
                <w:color w:val="auto"/>
                <w:sz w:val="21"/>
                <w:highlight w:val="none"/>
              </w:rPr>
            </w:pPr>
            <w:r>
              <w:rPr>
                <w:rFonts w:eastAsia="仿宋"/>
                <w:color w:val="auto"/>
                <w:sz w:val="21"/>
                <w:highlight w:val="none"/>
              </w:rPr>
              <w:t>1</w:t>
            </w:r>
          </w:p>
        </w:tc>
        <w:tc>
          <w:tcPr>
            <w:tcW w:w="1242" w:type="pct"/>
            <w:vMerge w:val="restart"/>
            <w:vAlign w:val="center"/>
          </w:tcPr>
          <w:p>
            <w:pPr>
              <w:pStyle w:val="52"/>
              <w:snapToGrid w:val="0"/>
              <w:rPr>
                <w:rFonts w:eastAsia="仿宋"/>
                <w:color w:val="auto"/>
                <w:sz w:val="21"/>
                <w:highlight w:val="none"/>
              </w:rPr>
            </w:pPr>
            <w:r>
              <w:rPr>
                <w:rFonts w:eastAsia="仿宋"/>
                <w:color w:val="auto"/>
                <w:sz w:val="21"/>
                <w:highlight w:val="none"/>
              </w:rPr>
              <w:t>预埋钢板、建筑幕墙用槽式预埋组件</w:t>
            </w:r>
          </w:p>
        </w:tc>
        <w:tc>
          <w:tcPr>
            <w:tcW w:w="983" w:type="pct"/>
            <w:vAlign w:val="center"/>
          </w:tcPr>
          <w:p>
            <w:pPr>
              <w:pStyle w:val="52"/>
              <w:snapToGrid w:val="0"/>
              <w:rPr>
                <w:rFonts w:eastAsia="仿宋"/>
                <w:color w:val="auto"/>
                <w:sz w:val="21"/>
                <w:highlight w:val="none"/>
              </w:rPr>
            </w:pPr>
            <w:r>
              <w:rPr>
                <w:rFonts w:eastAsia="仿宋"/>
                <w:color w:val="auto"/>
                <w:sz w:val="21"/>
                <w:highlight w:val="none"/>
              </w:rPr>
              <w:t>中心线位置</w:t>
            </w:r>
          </w:p>
        </w:tc>
        <w:tc>
          <w:tcPr>
            <w:tcW w:w="713" w:type="pct"/>
            <w:vAlign w:val="center"/>
          </w:tcPr>
          <w:p>
            <w:pPr>
              <w:pStyle w:val="52"/>
              <w:snapToGrid w:val="0"/>
              <w:rPr>
                <w:rFonts w:eastAsia="仿宋"/>
                <w:color w:val="auto"/>
                <w:sz w:val="21"/>
                <w:highlight w:val="none"/>
              </w:rPr>
            </w:pPr>
            <w:r>
              <w:rPr>
                <w:rFonts w:eastAsia="仿宋"/>
                <w:color w:val="auto"/>
                <w:sz w:val="21"/>
                <w:highlight w:val="none"/>
              </w:rPr>
              <w:t>3</w:t>
            </w:r>
          </w:p>
        </w:tc>
        <w:tc>
          <w:tcPr>
            <w:tcW w:w="1605" w:type="pct"/>
            <w:vAlign w:val="center"/>
          </w:tcPr>
          <w:p>
            <w:pPr>
              <w:pStyle w:val="52"/>
              <w:snapToGrid w:val="0"/>
              <w:jc w:val="left"/>
              <w:rPr>
                <w:rFonts w:eastAsia="仿宋"/>
                <w:color w:val="auto"/>
                <w:sz w:val="21"/>
                <w:highlight w:val="none"/>
              </w:rPr>
            </w:pPr>
            <w:r>
              <w:rPr>
                <w:rFonts w:eastAsia="仿宋"/>
                <w:color w:val="auto"/>
                <w:sz w:val="21"/>
                <w:highlight w:val="none"/>
              </w:rPr>
              <w:t>用尺量测纵横两个方向的中心线位置，取其中较大值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457" w:type="pct"/>
            <w:vMerge w:val="continue"/>
            <w:vAlign w:val="center"/>
          </w:tcPr>
          <w:p>
            <w:pPr>
              <w:pStyle w:val="52"/>
              <w:snapToGrid w:val="0"/>
              <w:rPr>
                <w:rFonts w:eastAsia="仿宋"/>
                <w:color w:val="auto"/>
                <w:sz w:val="21"/>
                <w:highlight w:val="none"/>
              </w:rPr>
            </w:pPr>
          </w:p>
        </w:tc>
        <w:tc>
          <w:tcPr>
            <w:tcW w:w="1242" w:type="pct"/>
            <w:vMerge w:val="continue"/>
            <w:vAlign w:val="center"/>
          </w:tcPr>
          <w:p>
            <w:pPr>
              <w:pStyle w:val="52"/>
              <w:snapToGrid w:val="0"/>
              <w:rPr>
                <w:rFonts w:eastAsia="仿宋"/>
                <w:color w:val="auto"/>
                <w:sz w:val="21"/>
                <w:highlight w:val="none"/>
              </w:rPr>
            </w:pPr>
          </w:p>
        </w:tc>
        <w:tc>
          <w:tcPr>
            <w:tcW w:w="983" w:type="pct"/>
            <w:vAlign w:val="center"/>
          </w:tcPr>
          <w:p>
            <w:pPr>
              <w:pStyle w:val="52"/>
              <w:snapToGrid w:val="0"/>
              <w:rPr>
                <w:rFonts w:eastAsia="仿宋"/>
                <w:color w:val="auto"/>
                <w:sz w:val="21"/>
                <w:highlight w:val="none"/>
              </w:rPr>
            </w:pPr>
            <w:r>
              <w:rPr>
                <w:rFonts w:eastAsia="仿宋"/>
                <w:color w:val="auto"/>
                <w:sz w:val="21"/>
                <w:highlight w:val="none"/>
              </w:rPr>
              <w:t>平面高差</w:t>
            </w:r>
          </w:p>
        </w:tc>
        <w:tc>
          <w:tcPr>
            <w:tcW w:w="713" w:type="pct"/>
            <w:vAlign w:val="center"/>
          </w:tcPr>
          <w:p>
            <w:pPr>
              <w:pStyle w:val="52"/>
              <w:snapToGrid w:val="0"/>
              <w:rPr>
                <w:rFonts w:eastAsia="仿宋"/>
                <w:color w:val="auto"/>
                <w:sz w:val="21"/>
                <w:highlight w:val="none"/>
              </w:rPr>
            </w:pPr>
            <w:r>
              <w:rPr>
                <w:rFonts w:eastAsia="仿宋"/>
                <w:color w:val="auto"/>
                <w:sz w:val="21"/>
                <w:highlight w:val="none"/>
              </w:rPr>
              <w:t>±2</w:t>
            </w:r>
          </w:p>
        </w:tc>
        <w:tc>
          <w:tcPr>
            <w:tcW w:w="1605" w:type="pct"/>
            <w:vAlign w:val="center"/>
          </w:tcPr>
          <w:p>
            <w:pPr>
              <w:pStyle w:val="52"/>
              <w:snapToGrid w:val="0"/>
              <w:jc w:val="left"/>
              <w:rPr>
                <w:rFonts w:eastAsia="仿宋"/>
                <w:color w:val="auto"/>
                <w:sz w:val="21"/>
                <w:highlight w:val="none"/>
              </w:rPr>
            </w:pPr>
            <w:r>
              <w:rPr>
                <w:rFonts w:eastAsia="仿宋"/>
                <w:color w:val="auto"/>
                <w:sz w:val="21"/>
                <w:highlight w:val="none"/>
              </w:rPr>
              <w:t>用钢直尺和塞尺检查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7" w:type="pct"/>
            <w:vAlign w:val="center"/>
          </w:tcPr>
          <w:p>
            <w:pPr>
              <w:pStyle w:val="52"/>
              <w:snapToGrid w:val="0"/>
              <w:rPr>
                <w:rFonts w:eastAsia="仿宋"/>
                <w:color w:val="auto"/>
                <w:sz w:val="21"/>
                <w:highlight w:val="none"/>
              </w:rPr>
            </w:pPr>
            <w:r>
              <w:rPr>
                <w:rFonts w:eastAsia="仿宋"/>
                <w:color w:val="auto"/>
                <w:sz w:val="21"/>
                <w:highlight w:val="none"/>
              </w:rPr>
              <w:t>2</w:t>
            </w:r>
          </w:p>
        </w:tc>
        <w:tc>
          <w:tcPr>
            <w:tcW w:w="2225" w:type="pct"/>
            <w:gridSpan w:val="2"/>
            <w:vAlign w:val="center"/>
          </w:tcPr>
          <w:p>
            <w:pPr>
              <w:pStyle w:val="52"/>
              <w:snapToGrid w:val="0"/>
              <w:rPr>
                <w:rFonts w:eastAsia="仿宋"/>
                <w:color w:val="auto"/>
                <w:sz w:val="21"/>
                <w:highlight w:val="none"/>
              </w:rPr>
            </w:pPr>
            <w:r>
              <w:rPr>
                <w:rFonts w:eastAsia="仿宋"/>
                <w:color w:val="auto"/>
                <w:sz w:val="21"/>
                <w:highlight w:val="none"/>
              </w:rPr>
              <w:t>预埋管、电线盒、电线管水平和垂直方向的中心线位置偏移、预留孔、浆锚搭接预留孔（或波纹管）</w:t>
            </w:r>
          </w:p>
        </w:tc>
        <w:tc>
          <w:tcPr>
            <w:tcW w:w="713" w:type="pct"/>
            <w:vAlign w:val="center"/>
          </w:tcPr>
          <w:p>
            <w:pPr>
              <w:pStyle w:val="52"/>
              <w:snapToGrid w:val="0"/>
              <w:rPr>
                <w:rFonts w:eastAsia="仿宋"/>
                <w:color w:val="auto"/>
                <w:sz w:val="21"/>
                <w:highlight w:val="none"/>
              </w:rPr>
            </w:pPr>
            <w:r>
              <w:rPr>
                <w:rFonts w:eastAsia="仿宋"/>
                <w:color w:val="auto"/>
                <w:sz w:val="21"/>
                <w:highlight w:val="none"/>
              </w:rPr>
              <w:t>2</w:t>
            </w:r>
          </w:p>
        </w:tc>
        <w:tc>
          <w:tcPr>
            <w:tcW w:w="1605" w:type="pct"/>
            <w:vAlign w:val="center"/>
          </w:tcPr>
          <w:p>
            <w:pPr>
              <w:pStyle w:val="52"/>
              <w:snapToGrid w:val="0"/>
              <w:jc w:val="left"/>
              <w:rPr>
                <w:rFonts w:eastAsia="仿宋"/>
                <w:color w:val="auto"/>
                <w:sz w:val="21"/>
                <w:highlight w:val="none"/>
              </w:rPr>
            </w:pPr>
            <w:r>
              <w:rPr>
                <w:rFonts w:eastAsia="仿宋"/>
                <w:color w:val="auto"/>
                <w:sz w:val="21"/>
                <w:highlight w:val="none"/>
              </w:rPr>
              <w:t>用尺量测纵横两个方向的中心线位置，取其中较大值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7" w:type="pct"/>
            <w:vMerge w:val="restart"/>
            <w:vAlign w:val="center"/>
          </w:tcPr>
          <w:p>
            <w:pPr>
              <w:pStyle w:val="52"/>
              <w:snapToGrid w:val="0"/>
              <w:rPr>
                <w:rFonts w:eastAsia="仿宋"/>
                <w:color w:val="auto"/>
                <w:sz w:val="21"/>
                <w:highlight w:val="none"/>
              </w:rPr>
            </w:pPr>
            <w:r>
              <w:rPr>
                <w:rFonts w:eastAsia="仿宋"/>
                <w:color w:val="auto"/>
                <w:sz w:val="21"/>
                <w:highlight w:val="none"/>
              </w:rPr>
              <w:t>3</w:t>
            </w:r>
          </w:p>
        </w:tc>
        <w:tc>
          <w:tcPr>
            <w:tcW w:w="1242" w:type="pct"/>
            <w:vMerge w:val="restart"/>
            <w:vAlign w:val="center"/>
          </w:tcPr>
          <w:p>
            <w:pPr>
              <w:pStyle w:val="52"/>
              <w:snapToGrid w:val="0"/>
              <w:rPr>
                <w:rFonts w:eastAsia="仿宋"/>
                <w:color w:val="auto"/>
                <w:sz w:val="21"/>
                <w:highlight w:val="none"/>
              </w:rPr>
            </w:pPr>
            <w:r>
              <w:rPr>
                <w:rFonts w:eastAsia="仿宋"/>
                <w:color w:val="auto"/>
                <w:sz w:val="21"/>
                <w:highlight w:val="none"/>
              </w:rPr>
              <w:t>插筋</w:t>
            </w:r>
          </w:p>
        </w:tc>
        <w:tc>
          <w:tcPr>
            <w:tcW w:w="983" w:type="pct"/>
            <w:vAlign w:val="center"/>
          </w:tcPr>
          <w:p>
            <w:pPr>
              <w:pStyle w:val="52"/>
              <w:snapToGrid w:val="0"/>
              <w:rPr>
                <w:rFonts w:eastAsia="仿宋"/>
                <w:color w:val="auto"/>
                <w:sz w:val="21"/>
                <w:highlight w:val="none"/>
              </w:rPr>
            </w:pPr>
            <w:r>
              <w:rPr>
                <w:rFonts w:eastAsia="仿宋"/>
                <w:color w:val="auto"/>
                <w:sz w:val="21"/>
                <w:highlight w:val="none"/>
              </w:rPr>
              <w:t>中心线位置</w:t>
            </w:r>
          </w:p>
        </w:tc>
        <w:tc>
          <w:tcPr>
            <w:tcW w:w="713" w:type="pct"/>
            <w:vAlign w:val="center"/>
          </w:tcPr>
          <w:p>
            <w:pPr>
              <w:pStyle w:val="52"/>
              <w:snapToGrid w:val="0"/>
              <w:rPr>
                <w:rFonts w:eastAsia="仿宋"/>
                <w:color w:val="auto"/>
                <w:sz w:val="21"/>
                <w:highlight w:val="none"/>
              </w:rPr>
            </w:pPr>
            <w:r>
              <w:rPr>
                <w:rFonts w:eastAsia="仿宋"/>
                <w:color w:val="auto"/>
                <w:sz w:val="21"/>
                <w:highlight w:val="none"/>
              </w:rPr>
              <w:t>3</w:t>
            </w:r>
          </w:p>
        </w:tc>
        <w:tc>
          <w:tcPr>
            <w:tcW w:w="1605" w:type="pct"/>
            <w:vAlign w:val="center"/>
          </w:tcPr>
          <w:p>
            <w:pPr>
              <w:pStyle w:val="52"/>
              <w:snapToGrid w:val="0"/>
              <w:jc w:val="left"/>
              <w:rPr>
                <w:rFonts w:eastAsia="仿宋"/>
                <w:color w:val="auto"/>
                <w:sz w:val="21"/>
                <w:highlight w:val="none"/>
              </w:rPr>
            </w:pPr>
            <w:r>
              <w:rPr>
                <w:rFonts w:eastAsia="仿宋"/>
                <w:color w:val="auto"/>
                <w:sz w:val="21"/>
                <w:highlight w:val="none"/>
              </w:rPr>
              <w:t>用尺量测纵横两个方向的中心线位置，取其中较大值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57" w:type="pct"/>
            <w:vMerge w:val="continue"/>
            <w:vAlign w:val="center"/>
          </w:tcPr>
          <w:p>
            <w:pPr>
              <w:pStyle w:val="52"/>
              <w:snapToGrid w:val="0"/>
              <w:rPr>
                <w:rFonts w:eastAsia="仿宋"/>
                <w:color w:val="auto"/>
                <w:sz w:val="21"/>
                <w:highlight w:val="none"/>
              </w:rPr>
            </w:pPr>
          </w:p>
        </w:tc>
        <w:tc>
          <w:tcPr>
            <w:tcW w:w="1242" w:type="pct"/>
            <w:vMerge w:val="continue"/>
            <w:vAlign w:val="center"/>
          </w:tcPr>
          <w:p>
            <w:pPr>
              <w:pStyle w:val="52"/>
              <w:snapToGrid w:val="0"/>
              <w:rPr>
                <w:rFonts w:eastAsia="仿宋"/>
                <w:color w:val="auto"/>
                <w:sz w:val="21"/>
                <w:highlight w:val="none"/>
              </w:rPr>
            </w:pPr>
          </w:p>
        </w:tc>
        <w:tc>
          <w:tcPr>
            <w:tcW w:w="983" w:type="pct"/>
            <w:vAlign w:val="center"/>
          </w:tcPr>
          <w:p>
            <w:pPr>
              <w:pStyle w:val="52"/>
              <w:snapToGrid w:val="0"/>
              <w:rPr>
                <w:rFonts w:eastAsia="仿宋"/>
                <w:color w:val="auto"/>
                <w:sz w:val="21"/>
                <w:highlight w:val="none"/>
              </w:rPr>
            </w:pPr>
            <w:r>
              <w:rPr>
                <w:rFonts w:eastAsia="仿宋"/>
                <w:color w:val="auto"/>
                <w:sz w:val="21"/>
                <w:highlight w:val="none"/>
              </w:rPr>
              <w:t>外露长度</w:t>
            </w:r>
          </w:p>
        </w:tc>
        <w:tc>
          <w:tcPr>
            <w:tcW w:w="713" w:type="pct"/>
            <w:vAlign w:val="center"/>
          </w:tcPr>
          <w:p>
            <w:pPr>
              <w:pStyle w:val="52"/>
              <w:snapToGrid w:val="0"/>
              <w:rPr>
                <w:rFonts w:eastAsia="仿宋"/>
                <w:color w:val="auto"/>
                <w:sz w:val="21"/>
                <w:highlight w:val="none"/>
              </w:rPr>
            </w:pPr>
            <w:r>
              <w:rPr>
                <w:rFonts w:eastAsia="仿宋"/>
                <w:color w:val="auto"/>
                <w:sz w:val="21"/>
                <w:highlight w:val="none"/>
              </w:rPr>
              <w:t>+10，0</w:t>
            </w:r>
          </w:p>
        </w:tc>
        <w:tc>
          <w:tcPr>
            <w:tcW w:w="1605" w:type="pct"/>
            <w:vAlign w:val="center"/>
          </w:tcPr>
          <w:p>
            <w:pPr>
              <w:pStyle w:val="52"/>
              <w:snapToGrid w:val="0"/>
              <w:jc w:val="left"/>
              <w:rPr>
                <w:rFonts w:eastAsia="仿宋"/>
                <w:color w:val="auto"/>
                <w:sz w:val="21"/>
                <w:highlight w:val="none"/>
              </w:rPr>
            </w:pPr>
            <w:r>
              <w:rPr>
                <w:rFonts w:eastAsia="仿宋"/>
                <w:color w:val="auto"/>
                <w:sz w:val="21"/>
                <w:highlight w:val="none"/>
              </w:rPr>
              <w:t>用尺量测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7" w:type="pct"/>
            <w:vMerge w:val="restart"/>
            <w:vAlign w:val="center"/>
          </w:tcPr>
          <w:p>
            <w:pPr>
              <w:pStyle w:val="52"/>
              <w:snapToGrid w:val="0"/>
              <w:rPr>
                <w:rFonts w:eastAsia="仿宋"/>
                <w:color w:val="auto"/>
                <w:sz w:val="21"/>
                <w:highlight w:val="none"/>
              </w:rPr>
            </w:pPr>
            <w:r>
              <w:rPr>
                <w:rFonts w:eastAsia="仿宋"/>
                <w:color w:val="auto"/>
                <w:sz w:val="21"/>
                <w:highlight w:val="none"/>
              </w:rPr>
              <w:t>4</w:t>
            </w:r>
          </w:p>
        </w:tc>
        <w:tc>
          <w:tcPr>
            <w:tcW w:w="1242" w:type="pct"/>
            <w:vMerge w:val="restart"/>
            <w:vAlign w:val="center"/>
          </w:tcPr>
          <w:p>
            <w:pPr>
              <w:pStyle w:val="52"/>
              <w:snapToGrid w:val="0"/>
              <w:rPr>
                <w:rFonts w:eastAsia="仿宋"/>
                <w:color w:val="auto"/>
                <w:sz w:val="21"/>
                <w:highlight w:val="none"/>
              </w:rPr>
            </w:pPr>
            <w:r>
              <w:rPr>
                <w:rFonts w:eastAsia="仿宋"/>
                <w:color w:val="auto"/>
                <w:sz w:val="21"/>
                <w:highlight w:val="none"/>
              </w:rPr>
              <w:t>吊环</w:t>
            </w:r>
          </w:p>
        </w:tc>
        <w:tc>
          <w:tcPr>
            <w:tcW w:w="983" w:type="pct"/>
            <w:vAlign w:val="center"/>
          </w:tcPr>
          <w:p>
            <w:pPr>
              <w:pStyle w:val="52"/>
              <w:snapToGrid w:val="0"/>
              <w:rPr>
                <w:rFonts w:eastAsia="仿宋"/>
                <w:color w:val="auto"/>
                <w:sz w:val="21"/>
                <w:highlight w:val="none"/>
              </w:rPr>
            </w:pPr>
            <w:r>
              <w:rPr>
                <w:rFonts w:eastAsia="仿宋"/>
                <w:color w:val="auto"/>
                <w:sz w:val="21"/>
                <w:highlight w:val="none"/>
              </w:rPr>
              <w:t>中心线位置</w:t>
            </w:r>
          </w:p>
        </w:tc>
        <w:tc>
          <w:tcPr>
            <w:tcW w:w="713" w:type="pct"/>
            <w:vAlign w:val="center"/>
          </w:tcPr>
          <w:p>
            <w:pPr>
              <w:pStyle w:val="52"/>
              <w:snapToGrid w:val="0"/>
              <w:rPr>
                <w:rFonts w:eastAsia="仿宋"/>
                <w:color w:val="auto"/>
                <w:sz w:val="21"/>
                <w:highlight w:val="none"/>
              </w:rPr>
            </w:pPr>
            <w:r>
              <w:rPr>
                <w:rFonts w:eastAsia="仿宋"/>
                <w:color w:val="auto"/>
                <w:sz w:val="21"/>
                <w:highlight w:val="none"/>
              </w:rPr>
              <w:t>3</w:t>
            </w:r>
          </w:p>
        </w:tc>
        <w:tc>
          <w:tcPr>
            <w:tcW w:w="1605" w:type="pct"/>
            <w:vAlign w:val="center"/>
          </w:tcPr>
          <w:p>
            <w:pPr>
              <w:pStyle w:val="52"/>
              <w:snapToGrid w:val="0"/>
              <w:jc w:val="left"/>
              <w:rPr>
                <w:rFonts w:eastAsia="仿宋"/>
                <w:color w:val="auto"/>
                <w:sz w:val="21"/>
                <w:highlight w:val="none"/>
              </w:rPr>
            </w:pPr>
            <w:r>
              <w:rPr>
                <w:rFonts w:eastAsia="仿宋"/>
                <w:color w:val="auto"/>
                <w:sz w:val="21"/>
                <w:highlight w:val="none"/>
              </w:rPr>
              <w:t>用尺量测纵横两个方向的中心线位置，取其较大值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57" w:type="pct"/>
            <w:vMerge w:val="continue"/>
            <w:vAlign w:val="center"/>
          </w:tcPr>
          <w:p>
            <w:pPr>
              <w:pStyle w:val="52"/>
              <w:snapToGrid w:val="0"/>
              <w:rPr>
                <w:rFonts w:eastAsia="仿宋"/>
                <w:color w:val="auto"/>
                <w:sz w:val="21"/>
                <w:highlight w:val="none"/>
              </w:rPr>
            </w:pPr>
          </w:p>
        </w:tc>
        <w:tc>
          <w:tcPr>
            <w:tcW w:w="1242" w:type="pct"/>
            <w:vMerge w:val="continue"/>
            <w:vAlign w:val="center"/>
          </w:tcPr>
          <w:p>
            <w:pPr>
              <w:pStyle w:val="52"/>
              <w:snapToGrid w:val="0"/>
              <w:rPr>
                <w:rFonts w:eastAsia="仿宋"/>
                <w:color w:val="auto"/>
                <w:sz w:val="21"/>
                <w:highlight w:val="none"/>
              </w:rPr>
            </w:pPr>
          </w:p>
        </w:tc>
        <w:tc>
          <w:tcPr>
            <w:tcW w:w="983" w:type="pct"/>
            <w:vAlign w:val="center"/>
          </w:tcPr>
          <w:p>
            <w:pPr>
              <w:pStyle w:val="52"/>
              <w:snapToGrid w:val="0"/>
              <w:rPr>
                <w:rFonts w:eastAsia="仿宋"/>
                <w:color w:val="auto"/>
                <w:sz w:val="21"/>
                <w:highlight w:val="none"/>
              </w:rPr>
            </w:pPr>
            <w:r>
              <w:rPr>
                <w:rFonts w:eastAsia="仿宋"/>
                <w:color w:val="auto"/>
                <w:sz w:val="21"/>
                <w:highlight w:val="none"/>
              </w:rPr>
              <w:t>外露长度</w:t>
            </w:r>
          </w:p>
        </w:tc>
        <w:tc>
          <w:tcPr>
            <w:tcW w:w="713" w:type="pct"/>
            <w:vAlign w:val="center"/>
          </w:tcPr>
          <w:p>
            <w:pPr>
              <w:pStyle w:val="52"/>
              <w:snapToGrid w:val="0"/>
              <w:rPr>
                <w:rFonts w:eastAsia="仿宋"/>
                <w:color w:val="auto"/>
                <w:sz w:val="21"/>
                <w:highlight w:val="none"/>
              </w:rPr>
            </w:pPr>
            <w:r>
              <w:rPr>
                <w:rFonts w:eastAsia="仿宋"/>
                <w:color w:val="auto"/>
                <w:sz w:val="21"/>
                <w:highlight w:val="none"/>
              </w:rPr>
              <w:t>0，-5</w:t>
            </w:r>
          </w:p>
        </w:tc>
        <w:tc>
          <w:tcPr>
            <w:tcW w:w="1605" w:type="pct"/>
            <w:vAlign w:val="center"/>
          </w:tcPr>
          <w:p>
            <w:pPr>
              <w:pStyle w:val="52"/>
              <w:snapToGrid w:val="0"/>
              <w:jc w:val="left"/>
              <w:rPr>
                <w:rFonts w:eastAsia="仿宋"/>
                <w:color w:val="auto"/>
                <w:sz w:val="21"/>
                <w:highlight w:val="none"/>
              </w:rPr>
            </w:pPr>
            <w:r>
              <w:rPr>
                <w:rFonts w:eastAsia="仿宋"/>
                <w:color w:val="auto"/>
                <w:sz w:val="21"/>
                <w:highlight w:val="none"/>
              </w:rPr>
              <w:t>用尺量测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7" w:type="pct"/>
            <w:vMerge w:val="restart"/>
            <w:vAlign w:val="center"/>
          </w:tcPr>
          <w:p>
            <w:pPr>
              <w:pStyle w:val="52"/>
              <w:snapToGrid w:val="0"/>
              <w:rPr>
                <w:rFonts w:eastAsia="仿宋"/>
                <w:color w:val="auto"/>
                <w:sz w:val="21"/>
                <w:highlight w:val="none"/>
              </w:rPr>
            </w:pPr>
            <w:r>
              <w:rPr>
                <w:rFonts w:eastAsia="仿宋"/>
                <w:color w:val="auto"/>
                <w:sz w:val="21"/>
                <w:highlight w:val="none"/>
              </w:rPr>
              <w:t>5</w:t>
            </w:r>
          </w:p>
        </w:tc>
        <w:tc>
          <w:tcPr>
            <w:tcW w:w="1242" w:type="pct"/>
            <w:vMerge w:val="restart"/>
            <w:vAlign w:val="center"/>
          </w:tcPr>
          <w:p>
            <w:pPr>
              <w:pStyle w:val="52"/>
              <w:snapToGrid w:val="0"/>
              <w:rPr>
                <w:rFonts w:eastAsia="仿宋"/>
                <w:color w:val="auto"/>
                <w:sz w:val="21"/>
                <w:highlight w:val="none"/>
              </w:rPr>
            </w:pPr>
            <w:r>
              <w:rPr>
                <w:rFonts w:eastAsia="仿宋"/>
                <w:color w:val="auto"/>
                <w:sz w:val="21"/>
                <w:highlight w:val="none"/>
              </w:rPr>
              <w:t>预埋螺栓</w:t>
            </w:r>
          </w:p>
        </w:tc>
        <w:tc>
          <w:tcPr>
            <w:tcW w:w="983" w:type="pct"/>
            <w:vAlign w:val="center"/>
          </w:tcPr>
          <w:p>
            <w:pPr>
              <w:pStyle w:val="52"/>
              <w:snapToGrid w:val="0"/>
              <w:rPr>
                <w:rFonts w:eastAsia="仿宋"/>
                <w:color w:val="auto"/>
                <w:sz w:val="21"/>
                <w:highlight w:val="none"/>
              </w:rPr>
            </w:pPr>
            <w:r>
              <w:rPr>
                <w:rFonts w:eastAsia="仿宋"/>
                <w:color w:val="auto"/>
                <w:sz w:val="21"/>
                <w:highlight w:val="none"/>
              </w:rPr>
              <w:t>中心线位置</w:t>
            </w:r>
          </w:p>
        </w:tc>
        <w:tc>
          <w:tcPr>
            <w:tcW w:w="713" w:type="pct"/>
            <w:vAlign w:val="center"/>
          </w:tcPr>
          <w:p>
            <w:pPr>
              <w:pStyle w:val="52"/>
              <w:snapToGrid w:val="0"/>
              <w:rPr>
                <w:rFonts w:eastAsia="仿宋"/>
                <w:color w:val="auto"/>
                <w:sz w:val="21"/>
                <w:highlight w:val="none"/>
              </w:rPr>
            </w:pPr>
            <w:r>
              <w:rPr>
                <w:rFonts w:eastAsia="仿宋"/>
                <w:color w:val="auto"/>
                <w:sz w:val="21"/>
                <w:highlight w:val="none"/>
              </w:rPr>
              <w:t>2</w:t>
            </w:r>
          </w:p>
        </w:tc>
        <w:tc>
          <w:tcPr>
            <w:tcW w:w="1605" w:type="pct"/>
            <w:vAlign w:val="center"/>
          </w:tcPr>
          <w:p>
            <w:pPr>
              <w:pStyle w:val="52"/>
              <w:snapToGrid w:val="0"/>
              <w:jc w:val="left"/>
              <w:rPr>
                <w:rFonts w:eastAsia="仿宋"/>
                <w:color w:val="auto"/>
                <w:sz w:val="21"/>
                <w:highlight w:val="none"/>
              </w:rPr>
            </w:pPr>
            <w:r>
              <w:rPr>
                <w:rFonts w:eastAsia="仿宋"/>
                <w:color w:val="auto"/>
                <w:sz w:val="21"/>
                <w:highlight w:val="none"/>
              </w:rPr>
              <w:t>用尺量测纵横两个方向的中心线位置，取其较大值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57" w:type="pct"/>
            <w:vMerge w:val="continue"/>
            <w:vAlign w:val="center"/>
          </w:tcPr>
          <w:p>
            <w:pPr>
              <w:pStyle w:val="52"/>
              <w:snapToGrid w:val="0"/>
              <w:rPr>
                <w:rFonts w:eastAsia="仿宋"/>
                <w:color w:val="auto"/>
                <w:sz w:val="21"/>
                <w:highlight w:val="none"/>
              </w:rPr>
            </w:pPr>
          </w:p>
        </w:tc>
        <w:tc>
          <w:tcPr>
            <w:tcW w:w="1242" w:type="pct"/>
            <w:vMerge w:val="continue"/>
            <w:vAlign w:val="center"/>
          </w:tcPr>
          <w:p>
            <w:pPr>
              <w:pStyle w:val="52"/>
              <w:snapToGrid w:val="0"/>
              <w:rPr>
                <w:rFonts w:eastAsia="仿宋"/>
                <w:color w:val="auto"/>
                <w:sz w:val="21"/>
                <w:highlight w:val="none"/>
              </w:rPr>
            </w:pPr>
          </w:p>
        </w:tc>
        <w:tc>
          <w:tcPr>
            <w:tcW w:w="983" w:type="pct"/>
            <w:vAlign w:val="center"/>
          </w:tcPr>
          <w:p>
            <w:pPr>
              <w:pStyle w:val="52"/>
              <w:snapToGrid w:val="0"/>
              <w:rPr>
                <w:rFonts w:eastAsia="仿宋"/>
                <w:color w:val="auto"/>
                <w:sz w:val="21"/>
                <w:highlight w:val="none"/>
              </w:rPr>
            </w:pPr>
            <w:r>
              <w:rPr>
                <w:rFonts w:eastAsia="仿宋"/>
                <w:color w:val="auto"/>
                <w:sz w:val="21"/>
                <w:highlight w:val="none"/>
              </w:rPr>
              <w:t>外露长度</w:t>
            </w:r>
          </w:p>
        </w:tc>
        <w:tc>
          <w:tcPr>
            <w:tcW w:w="713" w:type="pct"/>
            <w:vAlign w:val="center"/>
          </w:tcPr>
          <w:p>
            <w:pPr>
              <w:pStyle w:val="52"/>
              <w:snapToGrid w:val="0"/>
              <w:rPr>
                <w:rFonts w:eastAsia="仿宋"/>
                <w:color w:val="auto"/>
                <w:sz w:val="21"/>
                <w:highlight w:val="none"/>
              </w:rPr>
            </w:pPr>
            <w:r>
              <w:rPr>
                <w:rFonts w:eastAsia="仿宋"/>
                <w:color w:val="auto"/>
                <w:sz w:val="21"/>
                <w:highlight w:val="none"/>
              </w:rPr>
              <w:t>+5，0</w:t>
            </w:r>
          </w:p>
        </w:tc>
        <w:tc>
          <w:tcPr>
            <w:tcW w:w="1605" w:type="pct"/>
            <w:vAlign w:val="center"/>
          </w:tcPr>
          <w:p>
            <w:pPr>
              <w:pStyle w:val="52"/>
              <w:snapToGrid w:val="0"/>
              <w:jc w:val="left"/>
              <w:rPr>
                <w:rFonts w:eastAsia="仿宋"/>
                <w:color w:val="auto"/>
                <w:sz w:val="21"/>
                <w:highlight w:val="none"/>
              </w:rPr>
            </w:pPr>
            <w:r>
              <w:rPr>
                <w:rFonts w:eastAsia="仿宋"/>
                <w:color w:val="auto"/>
                <w:sz w:val="21"/>
                <w:highlight w:val="none"/>
              </w:rPr>
              <w:t>用尺量测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7" w:type="pct"/>
            <w:vMerge w:val="restart"/>
            <w:vAlign w:val="center"/>
          </w:tcPr>
          <w:p>
            <w:pPr>
              <w:pStyle w:val="52"/>
              <w:snapToGrid w:val="0"/>
              <w:rPr>
                <w:rFonts w:eastAsia="仿宋"/>
                <w:color w:val="auto"/>
                <w:sz w:val="21"/>
                <w:highlight w:val="none"/>
              </w:rPr>
            </w:pPr>
            <w:r>
              <w:rPr>
                <w:rFonts w:eastAsia="仿宋"/>
                <w:color w:val="auto"/>
                <w:sz w:val="21"/>
                <w:highlight w:val="none"/>
              </w:rPr>
              <w:t>6</w:t>
            </w:r>
          </w:p>
        </w:tc>
        <w:tc>
          <w:tcPr>
            <w:tcW w:w="1242" w:type="pct"/>
            <w:vMerge w:val="restart"/>
            <w:vAlign w:val="center"/>
          </w:tcPr>
          <w:p>
            <w:pPr>
              <w:pStyle w:val="52"/>
              <w:snapToGrid w:val="0"/>
              <w:rPr>
                <w:rFonts w:eastAsia="仿宋"/>
                <w:color w:val="auto"/>
                <w:sz w:val="21"/>
                <w:highlight w:val="none"/>
              </w:rPr>
            </w:pPr>
            <w:r>
              <w:rPr>
                <w:rFonts w:eastAsia="仿宋"/>
                <w:color w:val="auto"/>
                <w:sz w:val="21"/>
                <w:highlight w:val="none"/>
              </w:rPr>
              <w:t>预埋螺母</w:t>
            </w:r>
          </w:p>
        </w:tc>
        <w:tc>
          <w:tcPr>
            <w:tcW w:w="983" w:type="pct"/>
            <w:vAlign w:val="center"/>
          </w:tcPr>
          <w:p>
            <w:pPr>
              <w:pStyle w:val="52"/>
              <w:snapToGrid w:val="0"/>
              <w:rPr>
                <w:rFonts w:eastAsia="仿宋"/>
                <w:color w:val="auto"/>
                <w:sz w:val="21"/>
                <w:highlight w:val="none"/>
              </w:rPr>
            </w:pPr>
            <w:r>
              <w:rPr>
                <w:rFonts w:eastAsia="仿宋"/>
                <w:color w:val="auto"/>
                <w:sz w:val="21"/>
                <w:highlight w:val="none"/>
              </w:rPr>
              <w:t>中心线位置</w:t>
            </w:r>
          </w:p>
        </w:tc>
        <w:tc>
          <w:tcPr>
            <w:tcW w:w="713" w:type="pct"/>
            <w:vAlign w:val="center"/>
          </w:tcPr>
          <w:p>
            <w:pPr>
              <w:pStyle w:val="52"/>
              <w:snapToGrid w:val="0"/>
              <w:rPr>
                <w:rFonts w:eastAsia="仿宋"/>
                <w:color w:val="auto"/>
                <w:sz w:val="21"/>
                <w:highlight w:val="none"/>
              </w:rPr>
            </w:pPr>
            <w:r>
              <w:rPr>
                <w:rFonts w:eastAsia="仿宋"/>
                <w:color w:val="auto"/>
                <w:sz w:val="21"/>
                <w:highlight w:val="none"/>
              </w:rPr>
              <w:t>2</w:t>
            </w:r>
          </w:p>
        </w:tc>
        <w:tc>
          <w:tcPr>
            <w:tcW w:w="1605" w:type="pct"/>
            <w:vAlign w:val="center"/>
          </w:tcPr>
          <w:p>
            <w:pPr>
              <w:pStyle w:val="52"/>
              <w:snapToGrid w:val="0"/>
              <w:jc w:val="left"/>
              <w:rPr>
                <w:rFonts w:eastAsia="仿宋"/>
                <w:color w:val="auto"/>
                <w:sz w:val="21"/>
                <w:highlight w:val="none"/>
              </w:rPr>
            </w:pPr>
            <w:r>
              <w:rPr>
                <w:rFonts w:eastAsia="仿宋"/>
                <w:color w:val="auto"/>
                <w:sz w:val="21"/>
                <w:highlight w:val="none"/>
              </w:rPr>
              <w:t>用尺量测纵横两个方向的中心线位置，取其较大值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57" w:type="pct"/>
            <w:vMerge w:val="continue"/>
            <w:vAlign w:val="center"/>
          </w:tcPr>
          <w:p>
            <w:pPr>
              <w:pStyle w:val="52"/>
              <w:snapToGrid w:val="0"/>
              <w:rPr>
                <w:rFonts w:eastAsia="仿宋"/>
                <w:color w:val="auto"/>
                <w:sz w:val="21"/>
                <w:highlight w:val="none"/>
              </w:rPr>
            </w:pPr>
          </w:p>
        </w:tc>
        <w:tc>
          <w:tcPr>
            <w:tcW w:w="1242" w:type="pct"/>
            <w:vMerge w:val="continue"/>
            <w:vAlign w:val="center"/>
          </w:tcPr>
          <w:p>
            <w:pPr>
              <w:pStyle w:val="52"/>
              <w:snapToGrid w:val="0"/>
              <w:rPr>
                <w:rFonts w:eastAsia="仿宋"/>
                <w:color w:val="auto"/>
                <w:sz w:val="21"/>
                <w:highlight w:val="none"/>
              </w:rPr>
            </w:pPr>
          </w:p>
        </w:tc>
        <w:tc>
          <w:tcPr>
            <w:tcW w:w="983" w:type="pct"/>
            <w:vAlign w:val="center"/>
          </w:tcPr>
          <w:p>
            <w:pPr>
              <w:pStyle w:val="52"/>
              <w:snapToGrid w:val="0"/>
              <w:rPr>
                <w:rFonts w:eastAsia="仿宋"/>
                <w:color w:val="auto"/>
                <w:sz w:val="21"/>
                <w:highlight w:val="none"/>
              </w:rPr>
            </w:pPr>
            <w:r>
              <w:rPr>
                <w:rFonts w:eastAsia="仿宋"/>
                <w:color w:val="auto"/>
                <w:sz w:val="21"/>
                <w:highlight w:val="none"/>
              </w:rPr>
              <w:t>平面高差</w:t>
            </w:r>
          </w:p>
        </w:tc>
        <w:tc>
          <w:tcPr>
            <w:tcW w:w="713" w:type="pct"/>
            <w:vAlign w:val="center"/>
          </w:tcPr>
          <w:p>
            <w:pPr>
              <w:pStyle w:val="52"/>
              <w:snapToGrid w:val="0"/>
              <w:rPr>
                <w:rFonts w:eastAsia="仿宋"/>
                <w:color w:val="auto"/>
                <w:sz w:val="21"/>
                <w:highlight w:val="none"/>
              </w:rPr>
            </w:pPr>
            <w:r>
              <w:rPr>
                <w:rFonts w:eastAsia="仿宋"/>
                <w:color w:val="auto"/>
                <w:sz w:val="21"/>
                <w:highlight w:val="none"/>
              </w:rPr>
              <w:t>±1</w:t>
            </w:r>
          </w:p>
        </w:tc>
        <w:tc>
          <w:tcPr>
            <w:tcW w:w="1605" w:type="pct"/>
            <w:vAlign w:val="center"/>
          </w:tcPr>
          <w:p>
            <w:pPr>
              <w:pStyle w:val="52"/>
              <w:snapToGrid w:val="0"/>
              <w:jc w:val="left"/>
              <w:rPr>
                <w:rFonts w:eastAsia="仿宋"/>
                <w:color w:val="auto"/>
                <w:sz w:val="21"/>
                <w:highlight w:val="none"/>
              </w:rPr>
            </w:pPr>
            <w:r>
              <w:rPr>
                <w:rFonts w:eastAsia="仿宋"/>
                <w:color w:val="auto"/>
                <w:sz w:val="21"/>
                <w:highlight w:val="none"/>
              </w:rPr>
              <w:t>用钢直尺和塞尺检查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457" w:type="pct"/>
            <w:vMerge w:val="restart"/>
            <w:vAlign w:val="center"/>
          </w:tcPr>
          <w:p>
            <w:pPr>
              <w:pStyle w:val="52"/>
              <w:snapToGrid w:val="0"/>
              <w:rPr>
                <w:rFonts w:eastAsia="仿宋"/>
                <w:color w:val="auto"/>
                <w:sz w:val="21"/>
                <w:highlight w:val="none"/>
              </w:rPr>
            </w:pPr>
            <w:r>
              <w:rPr>
                <w:rFonts w:eastAsia="仿宋"/>
                <w:color w:val="auto"/>
                <w:sz w:val="21"/>
                <w:highlight w:val="none"/>
              </w:rPr>
              <w:t>7</w:t>
            </w:r>
          </w:p>
        </w:tc>
        <w:tc>
          <w:tcPr>
            <w:tcW w:w="1242" w:type="pct"/>
            <w:vMerge w:val="restart"/>
            <w:vAlign w:val="center"/>
          </w:tcPr>
          <w:p>
            <w:pPr>
              <w:pStyle w:val="52"/>
              <w:snapToGrid w:val="0"/>
              <w:rPr>
                <w:rFonts w:eastAsia="仿宋"/>
                <w:color w:val="auto"/>
                <w:sz w:val="21"/>
                <w:highlight w:val="none"/>
              </w:rPr>
            </w:pPr>
            <w:r>
              <w:rPr>
                <w:rFonts w:eastAsia="仿宋"/>
                <w:color w:val="auto"/>
                <w:sz w:val="21"/>
                <w:highlight w:val="none"/>
              </w:rPr>
              <w:t>预留洞</w:t>
            </w:r>
          </w:p>
        </w:tc>
        <w:tc>
          <w:tcPr>
            <w:tcW w:w="983" w:type="pct"/>
            <w:vAlign w:val="center"/>
          </w:tcPr>
          <w:p>
            <w:pPr>
              <w:pStyle w:val="52"/>
              <w:snapToGrid w:val="0"/>
              <w:rPr>
                <w:rFonts w:eastAsia="仿宋"/>
                <w:color w:val="auto"/>
                <w:sz w:val="21"/>
                <w:highlight w:val="none"/>
              </w:rPr>
            </w:pPr>
            <w:r>
              <w:rPr>
                <w:rFonts w:eastAsia="仿宋"/>
                <w:color w:val="auto"/>
                <w:sz w:val="21"/>
                <w:highlight w:val="none"/>
              </w:rPr>
              <w:t>中心线位置</w:t>
            </w:r>
          </w:p>
        </w:tc>
        <w:tc>
          <w:tcPr>
            <w:tcW w:w="713" w:type="pct"/>
            <w:vAlign w:val="center"/>
          </w:tcPr>
          <w:p>
            <w:pPr>
              <w:pStyle w:val="52"/>
              <w:snapToGrid w:val="0"/>
              <w:rPr>
                <w:rFonts w:eastAsia="仿宋"/>
                <w:color w:val="auto"/>
                <w:sz w:val="21"/>
                <w:highlight w:val="none"/>
              </w:rPr>
            </w:pPr>
            <w:r>
              <w:rPr>
                <w:rFonts w:eastAsia="仿宋"/>
                <w:color w:val="auto"/>
                <w:sz w:val="21"/>
                <w:highlight w:val="none"/>
              </w:rPr>
              <w:t>3</w:t>
            </w:r>
          </w:p>
        </w:tc>
        <w:tc>
          <w:tcPr>
            <w:tcW w:w="1605" w:type="pct"/>
            <w:vAlign w:val="center"/>
          </w:tcPr>
          <w:p>
            <w:pPr>
              <w:pStyle w:val="52"/>
              <w:snapToGrid w:val="0"/>
              <w:jc w:val="left"/>
              <w:rPr>
                <w:rFonts w:eastAsia="仿宋"/>
                <w:color w:val="auto"/>
                <w:sz w:val="21"/>
                <w:highlight w:val="none"/>
              </w:rPr>
            </w:pPr>
            <w:r>
              <w:rPr>
                <w:rFonts w:eastAsia="仿宋"/>
                <w:color w:val="auto"/>
                <w:sz w:val="21"/>
                <w:highlight w:val="none"/>
              </w:rPr>
              <w:t>用尺量测纵横两个方向的中心线位置，取其较大值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457" w:type="pct"/>
            <w:vMerge w:val="continue"/>
            <w:vAlign w:val="center"/>
          </w:tcPr>
          <w:p>
            <w:pPr>
              <w:pStyle w:val="52"/>
              <w:snapToGrid w:val="0"/>
              <w:rPr>
                <w:rFonts w:eastAsia="仿宋"/>
                <w:color w:val="auto"/>
                <w:sz w:val="21"/>
                <w:highlight w:val="none"/>
              </w:rPr>
            </w:pPr>
          </w:p>
        </w:tc>
        <w:tc>
          <w:tcPr>
            <w:tcW w:w="1242" w:type="pct"/>
            <w:vMerge w:val="continue"/>
            <w:vAlign w:val="center"/>
          </w:tcPr>
          <w:p>
            <w:pPr>
              <w:pStyle w:val="52"/>
              <w:snapToGrid w:val="0"/>
              <w:rPr>
                <w:rFonts w:eastAsia="仿宋"/>
                <w:color w:val="auto"/>
                <w:sz w:val="21"/>
                <w:highlight w:val="none"/>
              </w:rPr>
            </w:pPr>
          </w:p>
        </w:tc>
        <w:tc>
          <w:tcPr>
            <w:tcW w:w="983" w:type="pct"/>
            <w:vAlign w:val="center"/>
          </w:tcPr>
          <w:p>
            <w:pPr>
              <w:pStyle w:val="52"/>
              <w:snapToGrid w:val="0"/>
              <w:rPr>
                <w:rFonts w:eastAsia="仿宋"/>
                <w:color w:val="auto"/>
                <w:sz w:val="21"/>
                <w:highlight w:val="none"/>
              </w:rPr>
            </w:pPr>
            <w:r>
              <w:rPr>
                <w:rFonts w:eastAsia="仿宋"/>
                <w:color w:val="auto"/>
                <w:sz w:val="21"/>
                <w:highlight w:val="none"/>
              </w:rPr>
              <w:t>尺寸</w:t>
            </w:r>
          </w:p>
        </w:tc>
        <w:tc>
          <w:tcPr>
            <w:tcW w:w="713" w:type="pct"/>
            <w:vAlign w:val="center"/>
          </w:tcPr>
          <w:p>
            <w:pPr>
              <w:pStyle w:val="52"/>
              <w:snapToGrid w:val="0"/>
              <w:rPr>
                <w:rFonts w:eastAsia="仿宋"/>
                <w:color w:val="auto"/>
                <w:sz w:val="21"/>
                <w:highlight w:val="none"/>
              </w:rPr>
            </w:pPr>
            <w:r>
              <w:rPr>
                <w:rFonts w:eastAsia="仿宋"/>
                <w:color w:val="auto"/>
                <w:sz w:val="21"/>
                <w:highlight w:val="none"/>
              </w:rPr>
              <w:t>+3，0</w:t>
            </w:r>
          </w:p>
        </w:tc>
        <w:tc>
          <w:tcPr>
            <w:tcW w:w="1605" w:type="pct"/>
            <w:vAlign w:val="center"/>
          </w:tcPr>
          <w:p>
            <w:pPr>
              <w:pStyle w:val="52"/>
              <w:snapToGrid w:val="0"/>
              <w:jc w:val="left"/>
              <w:rPr>
                <w:rFonts w:eastAsia="仿宋"/>
                <w:color w:val="auto"/>
                <w:sz w:val="21"/>
                <w:highlight w:val="none"/>
              </w:rPr>
            </w:pPr>
            <w:r>
              <w:rPr>
                <w:rFonts w:eastAsia="仿宋"/>
                <w:color w:val="auto"/>
                <w:sz w:val="21"/>
                <w:highlight w:val="none"/>
              </w:rPr>
              <w:t>用尺量测纵横两个方向的尺寸，取其较大值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7" w:type="pct"/>
            <w:vMerge w:val="restart"/>
            <w:vAlign w:val="center"/>
          </w:tcPr>
          <w:p>
            <w:pPr>
              <w:pStyle w:val="52"/>
              <w:snapToGrid w:val="0"/>
              <w:rPr>
                <w:rFonts w:eastAsia="仿宋"/>
                <w:color w:val="auto"/>
                <w:sz w:val="21"/>
                <w:highlight w:val="none"/>
              </w:rPr>
            </w:pPr>
            <w:r>
              <w:rPr>
                <w:rFonts w:eastAsia="仿宋"/>
                <w:color w:val="auto"/>
                <w:sz w:val="21"/>
                <w:highlight w:val="none"/>
              </w:rPr>
              <w:t>8</w:t>
            </w:r>
          </w:p>
        </w:tc>
        <w:tc>
          <w:tcPr>
            <w:tcW w:w="1242" w:type="pct"/>
            <w:vMerge w:val="restart"/>
            <w:vAlign w:val="center"/>
          </w:tcPr>
          <w:p>
            <w:pPr>
              <w:pStyle w:val="52"/>
              <w:snapToGrid w:val="0"/>
              <w:rPr>
                <w:rFonts w:eastAsia="仿宋"/>
                <w:color w:val="auto"/>
                <w:sz w:val="21"/>
                <w:highlight w:val="none"/>
              </w:rPr>
            </w:pPr>
            <w:r>
              <w:rPr>
                <w:rFonts w:eastAsia="仿宋"/>
                <w:color w:val="auto"/>
                <w:sz w:val="21"/>
                <w:highlight w:val="none"/>
              </w:rPr>
              <w:t>预埋连接件及连接钢筋</w:t>
            </w:r>
          </w:p>
        </w:tc>
        <w:tc>
          <w:tcPr>
            <w:tcW w:w="983" w:type="pct"/>
            <w:vAlign w:val="center"/>
          </w:tcPr>
          <w:p>
            <w:pPr>
              <w:pStyle w:val="52"/>
              <w:snapToGrid w:val="0"/>
              <w:rPr>
                <w:rFonts w:eastAsia="仿宋"/>
                <w:color w:val="auto"/>
                <w:sz w:val="21"/>
                <w:highlight w:val="none"/>
              </w:rPr>
            </w:pPr>
            <w:r>
              <w:rPr>
                <w:rFonts w:eastAsia="仿宋"/>
                <w:color w:val="auto"/>
                <w:sz w:val="21"/>
                <w:highlight w:val="none"/>
              </w:rPr>
              <w:t>预埋连接件</w:t>
            </w:r>
          </w:p>
          <w:p>
            <w:pPr>
              <w:pStyle w:val="52"/>
              <w:snapToGrid w:val="0"/>
              <w:rPr>
                <w:rFonts w:eastAsia="仿宋"/>
                <w:color w:val="auto"/>
                <w:sz w:val="21"/>
                <w:highlight w:val="none"/>
              </w:rPr>
            </w:pPr>
            <w:r>
              <w:rPr>
                <w:rFonts w:eastAsia="仿宋"/>
                <w:color w:val="auto"/>
                <w:sz w:val="21"/>
                <w:highlight w:val="none"/>
              </w:rPr>
              <w:t>中心线位置</w:t>
            </w:r>
          </w:p>
        </w:tc>
        <w:tc>
          <w:tcPr>
            <w:tcW w:w="713" w:type="pct"/>
            <w:vAlign w:val="center"/>
          </w:tcPr>
          <w:p>
            <w:pPr>
              <w:pStyle w:val="52"/>
              <w:snapToGrid w:val="0"/>
              <w:rPr>
                <w:rFonts w:eastAsia="仿宋"/>
                <w:color w:val="auto"/>
                <w:sz w:val="21"/>
                <w:highlight w:val="none"/>
              </w:rPr>
            </w:pPr>
            <w:r>
              <w:rPr>
                <w:rFonts w:eastAsia="仿宋"/>
                <w:color w:val="auto"/>
                <w:sz w:val="21"/>
                <w:highlight w:val="none"/>
              </w:rPr>
              <w:t>1</w:t>
            </w:r>
          </w:p>
        </w:tc>
        <w:tc>
          <w:tcPr>
            <w:tcW w:w="1605" w:type="pct"/>
            <w:vAlign w:val="center"/>
          </w:tcPr>
          <w:p>
            <w:pPr>
              <w:pStyle w:val="52"/>
              <w:snapToGrid w:val="0"/>
              <w:jc w:val="left"/>
              <w:rPr>
                <w:rFonts w:eastAsia="仿宋"/>
                <w:color w:val="auto"/>
                <w:sz w:val="21"/>
                <w:highlight w:val="none"/>
              </w:rPr>
            </w:pPr>
            <w:r>
              <w:rPr>
                <w:rFonts w:eastAsia="仿宋"/>
                <w:color w:val="auto"/>
                <w:sz w:val="21"/>
                <w:highlight w:val="none"/>
              </w:rPr>
              <w:t>用尺量测纵横两个方向的中心线位置，取其较大值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457" w:type="pct"/>
            <w:vMerge w:val="continue"/>
            <w:vAlign w:val="center"/>
          </w:tcPr>
          <w:p>
            <w:pPr>
              <w:pStyle w:val="52"/>
              <w:snapToGrid w:val="0"/>
              <w:rPr>
                <w:rFonts w:eastAsia="仿宋"/>
                <w:color w:val="auto"/>
                <w:sz w:val="21"/>
                <w:highlight w:val="none"/>
              </w:rPr>
            </w:pPr>
          </w:p>
        </w:tc>
        <w:tc>
          <w:tcPr>
            <w:tcW w:w="1242" w:type="pct"/>
            <w:vMerge w:val="continue"/>
            <w:vAlign w:val="center"/>
          </w:tcPr>
          <w:p>
            <w:pPr>
              <w:pStyle w:val="52"/>
              <w:snapToGrid w:val="0"/>
              <w:rPr>
                <w:rFonts w:eastAsia="仿宋"/>
                <w:color w:val="auto"/>
                <w:sz w:val="21"/>
                <w:highlight w:val="none"/>
              </w:rPr>
            </w:pPr>
          </w:p>
        </w:tc>
        <w:tc>
          <w:tcPr>
            <w:tcW w:w="983" w:type="pct"/>
            <w:vAlign w:val="center"/>
          </w:tcPr>
          <w:p>
            <w:pPr>
              <w:pStyle w:val="52"/>
              <w:snapToGrid w:val="0"/>
              <w:rPr>
                <w:rFonts w:eastAsia="仿宋"/>
                <w:color w:val="auto"/>
                <w:sz w:val="21"/>
                <w:highlight w:val="none"/>
              </w:rPr>
            </w:pPr>
            <w:r>
              <w:rPr>
                <w:rFonts w:eastAsia="仿宋"/>
                <w:color w:val="auto"/>
                <w:sz w:val="21"/>
                <w:highlight w:val="none"/>
              </w:rPr>
              <w:t>连接钢筋中心线位置</w:t>
            </w:r>
          </w:p>
        </w:tc>
        <w:tc>
          <w:tcPr>
            <w:tcW w:w="713" w:type="pct"/>
            <w:vAlign w:val="center"/>
          </w:tcPr>
          <w:p>
            <w:pPr>
              <w:pStyle w:val="52"/>
              <w:snapToGrid w:val="0"/>
              <w:rPr>
                <w:rFonts w:eastAsia="仿宋"/>
                <w:color w:val="auto"/>
                <w:sz w:val="21"/>
                <w:highlight w:val="none"/>
              </w:rPr>
            </w:pPr>
            <w:r>
              <w:rPr>
                <w:rFonts w:eastAsia="仿宋"/>
                <w:color w:val="auto"/>
                <w:sz w:val="21"/>
                <w:highlight w:val="none"/>
              </w:rPr>
              <w:t>1</w:t>
            </w:r>
          </w:p>
        </w:tc>
        <w:tc>
          <w:tcPr>
            <w:tcW w:w="1605" w:type="pct"/>
            <w:vAlign w:val="center"/>
          </w:tcPr>
          <w:p>
            <w:pPr>
              <w:pStyle w:val="52"/>
              <w:snapToGrid w:val="0"/>
              <w:jc w:val="left"/>
              <w:rPr>
                <w:rFonts w:eastAsia="仿宋"/>
                <w:color w:val="auto"/>
                <w:sz w:val="21"/>
                <w:highlight w:val="none"/>
              </w:rPr>
            </w:pPr>
            <w:r>
              <w:rPr>
                <w:rFonts w:eastAsia="仿宋"/>
                <w:color w:val="auto"/>
                <w:sz w:val="21"/>
                <w:highlight w:val="none"/>
              </w:rPr>
              <w:t>用尺量测纵横两个方向的中心线位置，取其较大值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57" w:type="pct"/>
            <w:vMerge w:val="continue"/>
            <w:vAlign w:val="center"/>
          </w:tcPr>
          <w:p>
            <w:pPr>
              <w:pStyle w:val="52"/>
              <w:snapToGrid w:val="0"/>
              <w:rPr>
                <w:rFonts w:eastAsia="仿宋"/>
                <w:color w:val="auto"/>
                <w:sz w:val="21"/>
                <w:highlight w:val="none"/>
              </w:rPr>
            </w:pPr>
          </w:p>
        </w:tc>
        <w:tc>
          <w:tcPr>
            <w:tcW w:w="1242" w:type="pct"/>
            <w:vMerge w:val="continue"/>
            <w:vAlign w:val="center"/>
          </w:tcPr>
          <w:p>
            <w:pPr>
              <w:pStyle w:val="52"/>
              <w:snapToGrid w:val="0"/>
              <w:rPr>
                <w:rFonts w:eastAsia="仿宋"/>
                <w:color w:val="auto"/>
                <w:sz w:val="21"/>
                <w:highlight w:val="none"/>
              </w:rPr>
            </w:pPr>
          </w:p>
        </w:tc>
        <w:tc>
          <w:tcPr>
            <w:tcW w:w="983" w:type="pct"/>
            <w:vAlign w:val="center"/>
          </w:tcPr>
          <w:p>
            <w:pPr>
              <w:pStyle w:val="52"/>
              <w:snapToGrid w:val="0"/>
              <w:rPr>
                <w:rFonts w:eastAsia="仿宋"/>
                <w:color w:val="auto"/>
                <w:sz w:val="21"/>
                <w:highlight w:val="none"/>
              </w:rPr>
            </w:pPr>
            <w:r>
              <w:rPr>
                <w:rFonts w:eastAsia="仿宋"/>
                <w:color w:val="auto"/>
                <w:sz w:val="21"/>
                <w:highlight w:val="none"/>
              </w:rPr>
              <w:t>连接钢筋外露长度</w:t>
            </w:r>
          </w:p>
        </w:tc>
        <w:tc>
          <w:tcPr>
            <w:tcW w:w="713" w:type="pct"/>
            <w:vAlign w:val="center"/>
          </w:tcPr>
          <w:p>
            <w:pPr>
              <w:pStyle w:val="52"/>
              <w:snapToGrid w:val="0"/>
              <w:rPr>
                <w:rFonts w:eastAsia="仿宋"/>
                <w:color w:val="auto"/>
                <w:sz w:val="21"/>
                <w:highlight w:val="none"/>
              </w:rPr>
            </w:pPr>
            <w:r>
              <w:rPr>
                <w:rFonts w:eastAsia="仿宋"/>
                <w:color w:val="auto"/>
                <w:sz w:val="21"/>
                <w:highlight w:val="none"/>
              </w:rPr>
              <w:t>+5，0</w:t>
            </w:r>
          </w:p>
        </w:tc>
        <w:tc>
          <w:tcPr>
            <w:tcW w:w="1605" w:type="pct"/>
            <w:vAlign w:val="center"/>
          </w:tcPr>
          <w:p>
            <w:pPr>
              <w:pStyle w:val="52"/>
              <w:snapToGrid w:val="0"/>
              <w:jc w:val="left"/>
              <w:rPr>
                <w:rFonts w:eastAsia="仿宋"/>
                <w:color w:val="auto"/>
                <w:sz w:val="21"/>
                <w:highlight w:val="none"/>
              </w:rPr>
            </w:pPr>
            <w:r>
              <w:rPr>
                <w:rFonts w:eastAsia="仿宋"/>
                <w:color w:val="auto"/>
                <w:sz w:val="21"/>
                <w:highlight w:val="none"/>
              </w:rPr>
              <w:t>用尺量测</w:t>
            </w:r>
          </w:p>
        </w:tc>
      </w:tr>
    </w:tbl>
    <w:p>
      <w:pPr>
        <w:numPr>
          <w:ilvl w:val="0"/>
          <w:numId w:val="24"/>
        </w:numPr>
        <w:rPr>
          <w:color w:val="auto"/>
          <w:highlight w:val="none"/>
        </w:rPr>
      </w:pPr>
      <w:r>
        <w:rPr>
          <w:rFonts w:hint="eastAsia"/>
          <w:color w:val="auto"/>
          <w:highlight w:val="none"/>
        </w:rPr>
        <w:t>预制模块中预埋门窗框时，应在模具上设置限位装置进行固定，并应逐件检验。门窗框安装偏差和检验方法应符合表8.2.5的规定。</w:t>
      </w:r>
    </w:p>
    <w:p>
      <w:pPr>
        <w:pStyle w:val="54"/>
        <w:rPr>
          <w:rFonts w:eastAsia="仿宋"/>
          <w:b/>
          <w:bCs/>
          <w:color w:val="auto"/>
          <w:sz w:val="21"/>
          <w:highlight w:val="none"/>
        </w:rPr>
      </w:pPr>
    </w:p>
    <w:p>
      <w:pPr>
        <w:pStyle w:val="54"/>
        <w:rPr>
          <w:rFonts w:eastAsia="仿宋"/>
          <w:b/>
          <w:bCs/>
          <w:color w:val="auto"/>
          <w:sz w:val="21"/>
          <w:highlight w:val="none"/>
        </w:rPr>
      </w:pPr>
    </w:p>
    <w:p>
      <w:pPr>
        <w:pStyle w:val="54"/>
        <w:rPr>
          <w:rFonts w:eastAsia="仿宋"/>
          <w:b/>
          <w:bCs/>
          <w:color w:val="auto"/>
          <w:sz w:val="21"/>
          <w:highlight w:val="none"/>
        </w:rPr>
      </w:pPr>
      <w:r>
        <w:rPr>
          <w:rFonts w:eastAsia="仿宋"/>
          <w:b/>
          <w:bCs/>
          <w:color w:val="auto"/>
          <w:sz w:val="21"/>
          <w:highlight w:val="none"/>
        </w:rPr>
        <w:t>表8</w:t>
      </w:r>
      <w:r>
        <w:rPr>
          <w:rFonts w:hint="eastAsia" w:ascii="仿宋" w:hAnsi="仿宋" w:eastAsia="仿宋" w:cs="仿宋"/>
          <w:b/>
          <w:bCs/>
          <w:color w:val="auto"/>
          <w:sz w:val="21"/>
          <w:highlight w:val="none"/>
        </w:rPr>
        <w:t>.</w:t>
      </w:r>
      <w:r>
        <w:rPr>
          <w:rFonts w:eastAsia="仿宋"/>
          <w:b/>
          <w:bCs/>
          <w:color w:val="auto"/>
          <w:sz w:val="21"/>
          <w:highlight w:val="none"/>
        </w:rPr>
        <w:t>2</w:t>
      </w:r>
      <w:r>
        <w:rPr>
          <w:rFonts w:hint="eastAsia" w:ascii="仿宋" w:hAnsi="仿宋" w:eastAsia="仿宋" w:cs="仿宋"/>
          <w:b/>
          <w:bCs/>
          <w:color w:val="auto"/>
          <w:sz w:val="21"/>
          <w:highlight w:val="none"/>
        </w:rPr>
        <w:t>.</w:t>
      </w:r>
      <w:r>
        <w:rPr>
          <w:rFonts w:eastAsia="仿宋"/>
          <w:b/>
          <w:bCs/>
          <w:color w:val="auto"/>
          <w:sz w:val="21"/>
          <w:highlight w:val="none"/>
        </w:rPr>
        <w:t>5  门窗框安装允许偏差和检验方法</w:t>
      </w:r>
    </w:p>
    <w:tbl>
      <w:tblPr>
        <w:tblStyle w:val="24"/>
        <w:tblW w:w="478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71"/>
        <w:gridCol w:w="1849"/>
        <w:gridCol w:w="2214"/>
        <w:gridCol w:w="31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blHeader/>
          <w:jc w:val="center"/>
        </w:trPr>
        <w:tc>
          <w:tcPr>
            <w:tcW w:w="2050" w:type="pct"/>
            <w:gridSpan w:val="2"/>
            <w:vAlign w:val="center"/>
          </w:tcPr>
          <w:p>
            <w:pPr>
              <w:pStyle w:val="52"/>
              <w:rPr>
                <w:rFonts w:eastAsia="仿宋"/>
                <w:color w:val="auto"/>
                <w:sz w:val="21"/>
                <w:highlight w:val="none"/>
              </w:rPr>
            </w:pPr>
            <w:r>
              <w:rPr>
                <w:rFonts w:eastAsia="仿宋"/>
                <w:color w:val="auto"/>
                <w:sz w:val="21"/>
                <w:highlight w:val="none"/>
              </w:rPr>
              <w:t>项目</w:t>
            </w:r>
          </w:p>
        </w:tc>
        <w:tc>
          <w:tcPr>
            <w:tcW w:w="1220" w:type="pct"/>
            <w:vAlign w:val="center"/>
          </w:tcPr>
          <w:p>
            <w:pPr>
              <w:pStyle w:val="52"/>
              <w:rPr>
                <w:rFonts w:eastAsia="仿宋"/>
                <w:color w:val="auto"/>
                <w:sz w:val="21"/>
                <w:highlight w:val="none"/>
              </w:rPr>
            </w:pPr>
            <w:r>
              <w:rPr>
                <w:rFonts w:eastAsia="仿宋"/>
                <w:color w:val="auto"/>
                <w:sz w:val="21"/>
                <w:highlight w:val="none"/>
              </w:rPr>
              <w:t>允许偏差</w:t>
            </w:r>
          </w:p>
          <w:p>
            <w:pPr>
              <w:pStyle w:val="52"/>
              <w:rPr>
                <w:rFonts w:eastAsia="仿宋"/>
                <w:color w:val="auto"/>
                <w:sz w:val="21"/>
                <w:highlight w:val="none"/>
              </w:rPr>
            </w:pPr>
            <w:r>
              <w:rPr>
                <w:rFonts w:eastAsia="仿宋"/>
                <w:color w:val="auto"/>
                <w:sz w:val="21"/>
                <w:highlight w:val="none"/>
              </w:rPr>
              <w:t>(mm)</w:t>
            </w:r>
          </w:p>
        </w:tc>
        <w:tc>
          <w:tcPr>
            <w:tcW w:w="1728" w:type="pct"/>
            <w:vAlign w:val="center"/>
          </w:tcPr>
          <w:p>
            <w:pPr>
              <w:pStyle w:val="52"/>
              <w:rPr>
                <w:rFonts w:eastAsia="仿宋"/>
                <w:color w:val="auto"/>
                <w:sz w:val="21"/>
                <w:highlight w:val="none"/>
              </w:rPr>
            </w:pPr>
            <w:r>
              <w:rPr>
                <w:rFonts w:eastAsia="仿宋"/>
                <w:color w:val="auto"/>
                <w:sz w:val="21"/>
                <w:highlight w:val="none"/>
              </w:rPr>
              <w:t>检验方法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1031" w:type="pct"/>
            <w:vMerge w:val="restart"/>
            <w:vAlign w:val="center"/>
          </w:tcPr>
          <w:p>
            <w:pPr>
              <w:pStyle w:val="52"/>
              <w:rPr>
                <w:rFonts w:eastAsia="仿宋"/>
                <w:color w:val="auto"/>
                <w:sz w:val="21"/>
                <w:highlight w:val="none"/>
              </w:rPr>
            </w:pPr>
            <w:r>
              <w:rPr>
                <w:rFonts w:eastAsia="仿宋"/>
                <w:color w:val="auto"/>
                <w:sz w:val="21"/>
                <w:highlight w:val="none"/>
              </w:rPr>
              <w:t>锚固脚片</w:t>
            </w:r>
          </w:p>
        </w:tc>
        <w:tc>
          <w:tcPr>
            <w:tcW w:w="1018" w:type="pct"/>
            <w:vAlign w:val="center"/>
          </w:tcPr>
          <w:p>
            <w:pPr>
              <w:pStyle w:val="52"/>
              <w:rPr>
                <w:rFonts w:eastAsia="仿宋"/>
                <w:color w:val="auto"/>
                <w:sz w:val="21"/>
                <w:highlight w:val="none"/>
              </w:rPr>
            </w:pPr>
            <w:r>
              <w:rPr>
                <w:rFonts w:eastAsia="仿宋"/>
                <w:color w:val="auto"/>
                <w:sz w:val="21"/>
                <w:highlight w:val="none"/>
              </w:rPr>
              <w:t>中心线位置</w:t>
            </w:r>
          </w:p>
        </w:tc>
        <w:tc>
          <w:tcPr>
            <w:tcW w:w="1220" w:type="pct"/>
            <w:vAlign w:val="center"/>
          </w:tcPr>
          <w:p>
            <w:pPr>
              <w:pStyle w:val="52"/>
              <w:rPr>
                <w:rFonts w:eastAsia="仿宋"/>
                <w:color w:val="auto"/>
                <w:sz w:val="21"/>
                <w:highlight w:val="none"/>
              </w:rPr>
            </w:pPr>
            <w:r>
              <w:rPr>
                <w:rFonts w:eastAsia="仿宋"/>
                <w:color w:val="auto"/>
                <w:sz w:val="21"/>
                <w:highlight w:val="none"/>
              </w:rPr>
              <w:t>5</w:t>
            </w:r>
          </w:p>
        </w:tc>
        <w:tc>
          <w:tcPr>
            <w:tcW w:w="1728" w:type="pct"/>
            <w:vAlign w:val="center"/>
          </w:tcPr>
          <w:p>
            <w:pPr>
              <w:pStyle w:val="52"/>
              <w:rPr>
                <w:rFonts w:eastAsia="仿宋"/>
                <w:color w:val="auto"/>
                <w:sz w:val="21"/>
                <w:highlight w:val="none"/>
              </w:rPr>
            </w:pPr>
            <w:r>
              <w:rPr>
                <w:rFonts w:eastAsia="仿宋"/>
                <w:color w:val="auto"/>
                <w:sz w:val="21"/>
                <w:highlight w:val="none"/>
              </w:rPr>
              <w:t>钢尺检查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031" w:type="pct"/>
            <w:vMerge w:val="continue"/>
            <w:vAlign w:val="center"/>
          </w:tcPr>
          <w:p>
            <w:pPr>
              <w:pStyle w:val="52"/>
              <w:rPr>
                <w:rFonts w:eastAsia="仿宋"/>
                <w:color w:val="auto"/>
                <w:sz w:val="21"/>
                <w:highlight w:val="none"/>
              </w:rPr>
            </w:pPr>
          </w:p>
        </w:tc>
        <w:tc>
          <w:tcPr>
            <w:tcW w:w="1018" w:type="pct"/>
            <w:vAlign w:val="center"/>
          </w:tcPr>
          <w:p>
            <w:pPr>
              <w:pStyle w:val="52"/>
              <w:rPr>
                <w:rFonts w:eastAsia="仿宋"/>
                <w:color w:val="auto"/>
                <w:sz w:val="21"/>
                <w:highlight w:val="none"/>
              </w:rPr>
            </w:pPr>
            <w:r>
              <w:rPr>
                <w:rFonts w:eastAsia="仿宋"/>
                <w:color w:val="auto"/>
                <w:sz w:val="21"/>
                <w:highlight w:val="none"/>
              </w:rPr>
              <w:t>外露长度</w:t>
            </w:r>
          </w:p>
        </w:tc>
        <w:tc>
          <w:tcPr>
            <w:tcW w:w="1220" w:type="pct"/>
            <w:vAlign w:val="center"/>
          </w:tcPr>
          <w:p>
            <w:pPr>
              <w:pStyle w:val="52"/>
              <w:rPr>
                <w:rFonts w:eastAsia="仿宋"/>
                <w:color w:val="auto"/>
                <w:sz w:val="21"/>
                <w:highlight w:val="none"/>
              </w:rPr>
            </w:pPr>
            <w:r>
              <w:rPr>
                <w:rFonts w:eastAsia="仿宋"/>
                <w:color w:val="auto"/>
                <w:sz w:val="21"/>
                <w:highlight w:val="none"/>
              </w:rPr>
              <w:t>+5，0</w:t>
            </w:r>
          </w:p>
        </w:tc>
        <w:tc>
          <w:tcPr>
            <w:tcW w:w="1728" w:type="pct"/>
            <w:vAlign w:val="center"/>
          </w:tcPr>
          <w:p>
            <w:pPr>
              <w:pStyle w:val="52"/>
              <w:rPr>
                <w:rFonts w:eastAsia="仿宋"/>
                <w:color w:val="auto"/>
                <w:sz w:val="21"/>
                <w:highlight w:val="none"/>
              </w:rPr>
            </w:pPr>
            <w:r>
              <w:rPr>
                <w:rFonts w:eastAsia="仿宋"/>
                <w:color w:val="auto"/>
                <w:sz w:val="21"/>
                <w:highlight w:val="none"/>
              </w:rPr>
              <w:t>钢尺检查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050" w:type="pct"/>
            <w:gridSpan w:val="2"/>
            <w:vAlign w:val="center"/>
          </w:tcPr>
          <w:p>
            <w:pPr>
              <w:pStyle w:val="52"/>
              <w:rPr>
                <w:rFonts w:eastAsia="仿宋"/>
                <w:color w:val="auto"/>
                <w:sz w:val="21"/>
                <w:highlight w:val="none"/>
              </w:rPr>
            </w:pPr>
            <w:r>
              <w:rPr>
                <w:rFonts w:eastAsia="仿宋"/>
                <w:color w:val="auto"/>
                <w:sz w:val="21"/>
                <w:highlight w:val="none"/>
              </w:rPr>
              <w:t>门窗框位置</w:t>
            </w:r>
          </w:p>
        </w:tc>
        <w:tc>
          <w:tcPr>
            <w:tcW w:w="1220" w:type="pct"/>
            <w:tcBorders>
              <w:bottom w:val="single" w:color="auto" w:sz="2" w:space="0"/>
            </w:tcBorders>
            <w:vAlign w:val="center"/>
          </w:tcPr>
          <w:p>
            <w:pPr>
              <w:pStyle w:val="52"/>
              <w:rPr>
                <w:rFonts w:eastAsia="仿宋"/>
                <w:color w:val="auto"/>
                <w:sz w:val="21"/>
                <w:highlight w:val="none"/>
              </w:rPr>
            </w:pPr>
            <w:r>
              <w:rPr>
                <w:rFonts w:eastAsia="仿宋"/>
                <w:color w:val="auto"/>
                <w:sz w:val="21"/>
                <w:highlight w:val="none"/>
              </w:rPr>
              <w:t>±1.5</w:t>
            </w:r>
          </w:p>
        </w:tc>
        <w:tc>
          <w:tcPr>
            <w:tcW w:w="1728" w:type="pct"/>
            <w:vAlign w:val="center"/>
          </w:tcPr>
          <w:p>
            <w:pPr>
              <w:pStyle w:val="52"/>
              <w:rPr>
                <w:rFonts w:eastAsia="仿宋"/>
                <w:color w:val="auto"/>
                <w:sz w:val="21"/>
                <w:highlight w:val="none"/>
              </w:rPr>
            </w:pPr>
            <w:r>
              <w:rPr>
                <w:rFonts w:eastAsia="仿宋"/>
                <w:color w:val="auto"/>
                <w:sz w:val="21"/>
                <w:highlight w:val="none"/>
              </w:rPr>
              <w:t>钢尺检查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050" w:type="pct"/>
            <w:gridSpan w:val="2"/>
            <w:vAlign w:val="center"/>
          </w:tcPr>
          <w:p>
            <w:pPr>
              <w:pStyle w:val="52"/>
              <w:rPr>
                <w:rFonts w:eastAsia="仿宋"/>
                <w:color w:val="auto"/>
                <w:sz w:val="21"/>
                <w:highlight w:val="none"/>
              </w:rPr>
            </w:pPr>
            <w:r>
              <w:rPr>
                <w:rFonts w:eastAsia="仿宋"/>
                <w:color w:val="auto"/>
                <w:sz w:val="21"/>
                <w:highlight w:val="none"/>
              </w:rPr>
              <w:t>门窗框高、宽</w:t>
            </w:r>
          </w:p>
        </w:tc>
        <w:tc>
          <w:tcPr>
            <w:tcW w:w="1220" w:type="pct"/>
            <w:tcBorders>
              <w:top w:val="single" w:color="auto" w:sz="2" w:space="0"/>
            </w:tcBorders>
            <w:vAlign w:val="center"/>
          </w:tcPr>
          <w:p>
            <w:pPr>
              <w:pStyle w:val="52"/>
              <w:rPr>
                <w:rFonts w:eastAsia="仿宋"/>
                <w:color w:val="auto"/>
                <w:sz w:val="21"/>
                <w:highlight w:val="none"/>
              </w:rPr>
            </w:pPr>
            <w:r>
              <w:rPr>
                <w:rFonts w:eastAsia="仿宋"/>
                <w:color w:val="auto"/>
                <w:sz w:val="21"/>
                <w:highlight w:val="none"/>
              </w:rPr>
              <w:t>±</w:t>
            </w:r>
            <w:r>
              <w:rPr>
                <w:rFonts w:hint="eastAsia" w:eastAsia="仿宋"/>
                <w:color w:val="auto"/>
                <w:sz w:val="21"/>
                <w:highlight w:val="none"/>
              </w:rPr>
              <w:t>1.5</w:t>
            </w:r>
          </w:p>
        </w:tc>
        <w:tc>
          <w:tcPr>
            <w:tcW w:w="1728" w:type="pct"/>
            <w:tcBorders>
              <w:bottom w:val="single" w:color="auto" w:sz="2" w:space="0"/>
            </w:tcBorders>
            <w:vAlign w:val="center"/>
          </w:tcPr>
          <w:p>
            <w:pPr>
              <w:pStyle w:val="52"/>
              <w:rPr>
                <w:rFonts w:eastAsia="仿宋"/>
                <w:color w:val="auto"/>
                <w:sz w:val="21"/>
                <w:highlight w:val="none"/>
              </w:rPr>
            </w:pPr>
            <w:r>
              <w:rPr>
                <w:rFonts w:eastAsia="仿宋"/>
                <w:color w:val="auto"/>
                <w:sz w:val="21"/>
                <w:highlight w:val="none"/>
              </w:rPr>
              <w:t>钢尺检查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050" w:type="pct"/>
            <w:gridSpan w:val="2"/>
            <w:vAlign w:val="center"/>
          </w:tcPr>
          <w:p>
            <w:pPr>
              <w:pStyle w:val="52"/>
              <w:rPr>
                <w:rFonts w:eastAsia="仿宋"/>
                <w:color w:val="auto"/>
                <w:sz w:val="21"/>
                <w:highlight w:val="none"/>
              </w:rPr>
            </w:pPr>
            <w:r>
              <w:rPr>
                <w:rFonts w:eastAsia="仿宋"/>
                <w:color w:val="auto"/>
                <w:sz w:val="21"/>
                <w:highlight w:val="none"/>
              </w:rPr>
              <w:t>门窗框对角线</w:t>
            </w:r>
          </w:p>
        </w:tc>
        <w:tc>
          <w:tcPr>
            <w:tcW w:w="1220" w:type="pct"/>
            <w:vAlign w:val="center"/>
          </w:tcPr>
          <w:p>
            <w:pPr>
              <w:pStyle w:val="52"/>
              <w:rPr>
                <w:rFonts w:eastAsia="仿宋"/>
                <w:color w:val="auto"/>
                <w:sz w:val="21"/>
                <w:highlight w:val="none"/>
              </w:rPr>
            </w:pPr>
            <w:r>
              <w:rPr>
                <w:rFonts w:eastAsia="仿宋"/>
                <w:color w:val="auto"/>
                <w:sz w:val="21"/>
                <w:highlight w:val="none"/>
              </w:rPr>
              <w:t>±</w:t>
            </w:r>
            <w:r>
              <w:rPr>
                <w:rFonts w:hint="eastAsia" w:eastAsia="仿宋"/>
                <w:color w:val="auto"/>
                <w:sz w:val="21"/>
                <w:highlight w:val="none"/>
              </w:rPr>
              <w:t>1.5</w:t>
            </w:r>
          </w:p>
        </w:tc>
        <w:tc>
          <w:tcPr>
            <w:tcW w:w="1728" w:type="pct"/>
            <w:tcBorders>
              <w:top w:val="single" w:color="auto" w:sz="2" w:space="0"/>
              <w:bottom w:val="single" w:color="auto" w:sz="2" w:space="0"/>
            </w:tcBorders>
            <w:vAlign w:val="center"/>
          </w:tcPr>
          <w:p>
            <w:pPr>
              <w:pStyle w:val="52"/>
              <w:rPr>
                <w:rFonts w:eastAsia="仿宋"/>
                <w:color w:val="auto"/>
                <w:sz w:val="21"/>
                <w:highlight w:val="none"/>
              </w:rPr>
            </w:pPr>
            <w:r>
              <w:rPr>
                <w:rFonts w:eastAsia="仿宋"/>
                <w:color w:val="auto"/>
                <w:sz w:val="21"/>
                <w:highlight w:val="none"/>
              </w:rPr>
              <w:t>钢尺检查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050" w:type="pct"/>
            <w:gridSpan w:val="2"/>
            <w:vAlign w:val="center"/>
          </w:tcPr>
          <w:p>
            <w:pPr>
              <w:pStyle w:val="52"/>
              <w:rPr>
                <w:rFonts w:eastAsia="仿宋"/>
                <w:color w:val="auto"/>
                <w:sz w:val="21"/>
                <w:highlight w:val="none"/>
              </w:rPr>
            </w:pPr>
            <w:r>
              <w:rPr>
                <w:rFonts w:eastAsia="仿宋"/>
                <w:color w:val="auto"/>
                <w:sz w:val="21"/>
                <w:highlight w:val="none"/>
              </w:rPr>
              <w:t>门窗框的平整度</w:t>
            </w:r>
          </w:p>
        </w:tc>
        <w:tc>
          <w:tcPr>
            <w:tcW w:w="1220" w:type="pct"/>
            <w:vAlign w:val="center"/>
          </w:tcPr>
          <w:p>
            <w:pPr>
              <w:pStyle w:val="52"/>
              <w:rPr>
                <w:rFonts w:eastAsia="仿宋"/>
                <w:color w:val="auto"/>
                <w:sz w:val="21"/>
                <w:highlight w:val="none"/>
              </w:rPr>
            </w:pPr>
            <w:r>
              <w:rPr>
                <w:rFonts w:hint="eastAsia" w:eastAsia="仿宋"/>
                <w:color w:val="auto"/>
                <w:sz w:val="21"/>
                <w:highlight w:val="none"/>
              </w:rPr>
              <w:t>1.5</w:t>
            </w:r>
          </w:p>
        </w:tc>
        <w:tc>
          <w:tcPr>
            <w:tcW w:w="1728" w:type="pct"/>
            <w:tcBorders>
              <w:top w:val="single" w:color="auto" w:sz="2" w:space="0"/>
            </w:tcBorders>
            <w:vAlign w:val="center"/>
          </w:tcPr>
          <w:p>
            <w:pPr>
              <w:pStyle w:val="52"/>
              <w:rPr>
                <w:rFonts w:eastAsia="仿宋"/>
                <w:color w:val="auto"/>
                <w:sz w:val="21"/>
                <w:highlight w:val="none"/>
              </w:rPr>
            </w:pPr>
            <w:r>
              <w:rPr>
                <w:rFonts w:eastAsia="仿宋"/>
                <w:color w:val="auto"/>
                <w:sz w:val="21"/>
                <w:highlight w:val="none"/>
              </w:rPr>
              <w:t>钢尺检查</w:t>
            </w:r>
          </w:p>
        </w:tc>
      </w:tr>
    </w:tbl>
    <w:p>
      <w:pPr>
        <w:numPr>
          <w:ilvl w:val="0"/>
          <w:numId w:val="24"/>
        </w:numPr>
        <w:rPr>
          <w:color w:val="auto"/>
          <w:highlight w:val="none"/>
        </w:rPr>
      </w:pPr>
      <w:r>
        <w:rPr>
          <w:rFonts w:hint="eastAsia"/>
          <w:color w:val="auto"/>
          <w:highlight w:val="none"/>
        </w:rPr>
        <w:t>钢筋应符合现行国家标准《混凝土结构工程施工规范》GB 50666的有关规定，并应符合下列规定：</w:t>
      </w:r>
    </w:p>
    <w:p>
      <w:pPr>
        <w:ind w:firstLine="440" w:firstLineChars="200"/>
        <w:rPr>
          <w:color w:val="auto"/>
          <w:highlight w:val="none"/>
        </w:rPr>
      </w:pPr>
      <w:r>
        <w:rPr>
          <w:b/>
          <w:color w:val="auto"/>
          <w:highlight w:val="none"/>
        </w:rPr>
        <w:t xml:space="preserve">1  </w:t>
      </w:r>
      <w:r>
        <w:rPr>
          <w:rFonts w:hint="eastAsia"/>
          <w:color w:val="auto"/>
          <w:highlight w:val="none"/>
        </w:rPr>
        <w:t>钢筋接头的方式、位置、同一截面受力钢筋的接头百分率、钢筋的搭接长度及锚固长度等应符合设计要求和国家现行有关标准的规定；</w:t>
      </w:r>
    </w:p>
    <w:p>
      <w:pPr>
        <w:ind w:firstLine="440" w:firstLineChars="200"/>
        <w:rPr>
          <w:color w:val="auto"/>
          <w:highlight w:val="none"/>
        </w:rPr>
      </w:pPr>
      <w:r>
        <w:rPr>
          <w:b/>
          <w:color w:val="auto"/>
          <w:highlight w:val="none"/>
        </w:rPr>
        <w:t xml:space="preserve">2  </w:t>
      </w:r>
      <w:r>
        <w:rPr>
          <w:rFonts w:hint="eastAsia"/>
          <w:color w:val="auto"/>
          <w:highlight w:val="none"/>
        </w:rPr>
        <w:t>钢筋焊接接头和机械连接接头均应进行工艺检验，合格后方可进行模块单元制造；</w:t>
      </w:r>
    </w:p>
    <w:p>
      <w:pPr>
        <w:ind w:firstLine="440" w:firstLineChars="200"/>
        <w:rPr>
          <w:color w:val="auto"/>
          <w:highlight w:val="none"/>
        </w:rPr>
      </w:pPr>
      <w:bookmarkStart w:id="1008" w:name="_Toc13347"/>
      <w:bookmarkStart w:id="1009" w:name="_Toc26500"/>
      <w:r>
        <w:rPr>
          <w:b/>
          <w:color w:val="auto"/>
          <w:highlight w:val="none"/>
        </w:rPr>
        <w:t xml:space="preserve">3  </w:t>
      </w:r>
      <w:r>
        <w:rPr>
          <w:rFonts w:hint="eastAsia"/>
          <w:color w:val="auto"/>
          <w:highlight w:val="none"/>
        </w:rPr>
        <w:t>钢筋焊接接头和机械连接接头应全数检查外观质量；</w:t>
      </w:r>
      <w:bookmarkEnd w:id="1008"/>
      <w:bookmarkEnd w:id="1009"/>
    </w:p>
    <w:p>
      <w:pPr>
        <w:ind w:firstLine="440" w:firstLineChars="200"/>
        <w:rPr>
          <w:color w:val="auto"/>
          <w:highlight w:val="none"/>
        </w:rPr>
      </w:pPr>
      <w:r>
        <w:rPr>
          <w:b/>
          <w:color w:val="auto"/>
          <w:highlight w:val="none"/>
        </w:rPr>
        <w:t xml:space="preserve">4  </w:t>
      </w:r>
      <w:r>
        <w:rPr>
          <w:rFonts w:hint="eastAsia"/>
          <w:color w:val="auto"/>
          <w:highlight w:val="none"/>
        </w:rPr>
        <w:t>焊接接头、钢筋机械连接接头力学性能应符合现行行业标准《钢筋焊接及验收规程》</w:t>
      </w:r>
      <w:r>
        <w:rPr>
          <w:color w:val="auto"/>
          <w:highlight w:val="none"/>
        </w:rPr>
        <w:t>JGJ 18</w:t>
      </w:r>
      <w:r>
        <w:rPr>
          <w:rFonts w:hint="eastAsia"/>
          <w:color w:val="auto"/>
          <w:highlight w:val="none"/>
        </w:rPr>
        <w:t>和《钢筋机械连接技术规程》</w:t>
      </w:r>
      <w:r>
        <w:rPr>
          <w:color w:val="auto"/>
          <w:highlight w:val="none"/>
        </w:rPr>
        <w:t>JGJ 107</w:t>
      </w:r>
      <w:r>
        <w:rPr>
          <w:rFonts w:hint="eastAsia"/>
          <w:color w:val="auto"/>
          <w:highlight w:val="none"/>
        </w:rPr>
        <w:t>的有关规定。</w:t>
      </w:r>
    </w:p>
    <w:p>
      <w:pPr>
        <w:ind w:firstLine="440" w:firstLineChars="200"/>
        <w:rPr>
          <w:color w:val="auto"/>
          <w:highlight w:val="none"/>
        </w:rPr>
      </w:pPr>
      <w:bookmarkStart w:id="1010" w:name="_Toc14319"/>
      <w:bookmarkStart w:id="1011" w:name="_Toc21231"/>
      <w:r>
        <w:rPr>
          <w:rFonts w:hint="eastAsia"/>
          <w:b/>
          <w:bCs/>
          <w:color w:val="auto"/>
          <w:highlight w:val="none"/>
        </w:rPr>
        <w:t>5</w:t>
      </w:r>
      <w:r>
        <w:rPr>
          <w:rFonts w:hint="eastAsia"/>
          <w:color w:val="auto"/>
          <w:highlight w:val="none"/>
        </w:rPr>
        <w:t xml:space="preserve">  钢筋宜采用自动化机械设备加工。</w:t>
      </w:r>
      <w:bookmarkEnd w:id="1010"/>
      <w:bookmarkEnd w:id="1011"/>
    </w:p>
    <w:p>
      <w:pPr>
        <w:numPr>
          <w:ilvl w:val="0"/>
          <w:numId w:val="24"/>
        </w:numPr>
        <w:rPr>
          <w:color w:val="auto"/>
          <w:highlight w:val="none"/>
        </w:rPr>
      </w:pPr>
      <w:r>
        <w:rPr>
          <w:rFonts w:hint="eastAsia"/>
          <w:color w:val="auto"/>
          <w:highlight w:val="none"/>
        </w:rPr>
        <w:t>钢筋网片、钢筋骨架和钢筋桁架等半成品应检查合格后进行安装，并应符合下列规定：</w:t>
      </w:r>
    </w:p>
    <w:p>
      <w:pPr>
        <w:ind w:firstLine="440" w:firstLineChars="200"/>
        <w:rPr>
          <w:color w:val="auto"/>
          <w:szCs w:val="24"/>
          <w:highlight w:val="none"/>
        </w:rPr>
      </w:pPr>
      <w:r>
        <w:rPr>
          <w:b/>
          <w:color w:val="auto"/>
          <w:szCs w:val="24"/>
          <w:highlight w:val="none"/>
        </w:rPr>
        <w:t xml:space="preserve">1  </w:t>
      </w:r>
      <w:r>
        <w:rPr>
          <w:rFonts w:hint="eastAsia"/>
          <w:color w:val="auto"/>
          <w:szCs w:val="24"/>
          <w:highlight w:val="none"/>
        </w:rPr>
        <w:t>钢筋表面不得有油污，不应严重锈蚀；</w:t>
      </w:r>
    </w:p>
    <w:p>
      <w:pPr>
        <w:ind w:firstLine="440" w:firstLineChars="200"/>
        <w:rPr>
          <w:color w:val="auto"/>
          <w:szCs w:val="24"/>
          <w:highlight w:val="none"/>
        </w:rPr>
      </w:pPr>
      <w:r>
        <w:rPr>
          <w:b/>
          <w:color w:val="auto"/>
          <w:szCs w:val="24"/>
          <w:highlight w:val="none"/>
        </w:rPr>
        <w:t xml:space="preserve">2  </w:t>
      </w:r>
      <w:r>
        <w:rPr>
          <w:rFonts w:hint="eastAsia"/>
          <w:color w:val="auto"/>
          <w:szCs w:val="24"/>
          <w:highlight w:val="none"/>
        </w:rPr>
        <w:t>钢筋网片和钢筋骨架宜采用专用吊具进行吊运；</w:t>
      </w:r>
    </w:p>
    <w:p>
      <w:pPr>
        <w:ind w:firstLine="440" w:firstLineChars="200"/>
        <w:rPr>
          <w:color w:val="auto"/>
          <w:szCs w:val="24"/>
          <w:highlight w:val="none"/>
        </w:rPr>
      </w:pPr>
      <w:r>
        <w:rPr>
          <w:b/>
          <w:color w:val="auto"/>
          <w:szCs w:val="24"/>
          <w:highlight w:val="none"/>
        </w:rPr>
        <w:t xml:space="preserve">3  </w:t>
      </w:r>
      <w:r>
        <w:rPr>
          <w:rFonts w:hint="eastAsia"/>
          <w:color w:val="auto"/>
          <w:szCs w:val="24"/>
          <w:highlight w:val="none"/>
        </w:rPr>
        <w:t>保护层垫块间距应满足钢筋限位及变形控制要求，钢筋绑扎丝甩扣应弯向构件内侧。垫块宜与钢筋骨架或网片绑扎牢固，按梅花状布置。</w:t>
      </w:r>
    </w:p>
    <w:p>
      <w:pPr>
        <w:pStyle w:val="4"/>
        <w:rPr>
          <w:color w:val="auto"/>
          <w:highlight w:val="none"/>
        </w:rPr>
      </w:pPr>
      <w:bookmarkStart w:id="1012" w:name="_Toc3356"/>
      <w:bookmarkStart w:id="1013" w:name="_Toc110952728"/>
      <w:bookmarkStart w:id="1014" w:name="_Toc31816"/>
      <w:bookmarkStart w:id="1015" w:name="_Toc3565"/>
      <w:bookmarkStart w:id="1016" w:name="_Toc20115"/>
      <w:bookmarkStart w:id="1017" w:name="_Toc14170"/>
      <w:bookmarkStart w:id="1018" w:name="_Toc26857"/>
      <w:bookmarkStart w:id="1019" w:name="_Toc30893"/>
      <w:bookmarkStart w:id="1020" w:name="_Toc31000"/>
      <w:bookmarkStart w:id="1021" w:name="_Toc16003"/>
      <w:bookmarkStart w:id="1022" w:name="_Toc110958496"/>
      <w:bookmarkStart w:id="1023" w:name="_Toc18419"/>
      <w:bookmarkStart w:id="1024" w:name="_Toc1405"/>
      <w:bookmarkStart w:id="1025" w:name="_Toc25353"/>
      <w:bookmarkStart w:id="1026" w:name="_Toc9062"/>
      <w:bookmarkStart w:id="1027" w:name="_Toc16664"/>
      <w:bookmarkStart w:id="1028" w:name="_Toc26110"/>
      <w:bookmarkStart w:id="1029" w:name="_Toc10291"/>
      <w:bookmarkStart w:id="1030" w:name="_Toc1904"/>
      <w:bookmarkStart w:id="1031" w:name="_Toc18965"/>
      <w:bookmarkStart w:id="1032" w:name="_Toc6132"/>
      <w:bookmarkStart w:id="1033" w:name="_Toc17436"/>
      <w:bookmarkStart w:id="1034" w:name="_Toc13234"/>
      <w:bookmarkStart w:id="1035" w:name="_Toc15280"/>
      <w:bookmarkStart w:id="1036" w:name="_Toc14332"/>
      <w:bookmarkStart w:id="1037" w:name="_Toc31846"/>
      <w:bookmarkStart w:id="1038" w:name="_Toc27916"/>
      <w:bookmarkStart w:id="1039" w:name="_Toc12584"/>
      <w:bookmarkStart w:id="1040" w:name="_Toc16946"/>
      <w:bookmarkStart w:id="1041" w:name="_Toc21951"/>
      <w:bookmarkStart w:id="1042" w:name="_Toc28709"/>
      <w:bookmarkStart w:id="1043" w:name="_Toc27859"/>
      <w:bookmarkStart w:id="1044" w:name="_Toc4163"/>
      <w:bookmarkStart w:id="1045" w:name="_Toc1313"/>
      <w:bookmarkStart w:id="1046" w:name="_Toc9416"/>
      <w:r>
        <w:rPr>
          <w:b/>
          <w:bCs w:val="0"/>
          <w:color w:val="auto"/>
          <w:highlight w:val="none"/>
        </w:rPr>
        <w:t>8</w:t>
      </w:r>
      <w:r>
        <w:rPr>
          <w:rFonts w:hint="eastAsia" w:ascii="宋体" w:hAnsi="宋体" w:eastAsia="宋体"/>
          <w:b/>
          <w:bCs w:val="0"/>
          <w:color w:val="auto"/>
          <w:szCs w:val="21"/>
          <w:highlight w:val="none"/>
        </w:rPr>
        <w:t>.</w:t>
      </w:r>
      <w:r>
        <w:rPr>
          <w:rFonts w:hint="eastAsia"/>
          <w:b/>
          <w:bCs w:val="0"/>
          <w:color w:val="auto"/>
          <w:highlight w:val="none"/>
        </w:rPr>
        <w:t>3</w:t>
      </w:r>
      <w:r>
        <w:rPr>
          <w:rFonts w:hint="eastAsia"/>
          <w:color w:val="auto"/>
          <w:highlight w:val="none"/>
        </w:rPr>
        <w:t xml:space="preserve">  成型、养护及脱模</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p>
    <w:p>
      <w:pPr>
        <w:numPr>
          <w:ilvl w:val="0"/>
          <w:numId w:val="25"/>
        </w:numPr>
        <w:jc w:val="left"/>
        <w:rPr>
          <w:color w:val="auto"/>
          <w:highlight w:val="none"/>
        </w:rPr>
      </w:pPr>
      <w:r>
        <w:rPr>
          <w:rFonts w:hint="eastAsia"/>
          <w:color w:val="auto"/>
          <w:highlight w:val="none"/>
        </w:rPr>
        <w:t>模块单元的成型、养护及脱模应符合现行国家标准《混凝土结构工程施工规范》</w:t>
      </w:r>
      <w:r>
        <w:rPr>
          <w:color w:val="auto"/>
          <w:highlight w:val="none"/>
        </w:rPr>
        <w:t>GB 50666</w:t>
      </w:r>
      <w:r>
        <w:rPr>
          <w:rFonts w:hint="eastAsia"/>
          <w:color w:val="auto"/>
          <w:highlight w:val="none"/>
        </w:rPr>
        <w:t>的有关规定。</w:t>
      </w:r>
    </w:p>
    <w:p>
      <w:pPr>
        <w:numPr>
          <w:ilvl w:val="0"/>
          <w:numId w:val="25"/>
        </w:numPr>
        <w:jc w:val="left"/>
        <w:rPr>
          <w:color w:val="auto"/>
          <w:highlight w:val="none"/>
        </w:rPr>
      </w:pPr>
      <w:r>
        <w:rPr>
          <w:rFonts w:hint="eastAsia"/>
          <w:color w:val="auto"/>
          <w:highlight w:val="none"/>
        </w:rPr>
        <w:t>混凝土浇筑前应进行钢筋、预埋件的隐蔽工程检查，检查项目应包括下列内容：</w:t>
      </w:r>
    </w:p>
    <w:p>
      <w:pPr>
        <w:ind w:firstLine="440" w:firstLineChars="200"/>
        <w:jc w:val="left"/>
        <w:rPr>
          <w:color w:val="auto"/>
          <w:highlight w:val="none"/>
        </w:rPr>
      </w:pPr>
      <w:r>
        <w:rPr>
          <w:b/>
          <w:bCs/>
          <w:color w:val="auto"/>
          <w:highlight w:val="none"/>
        </w:rPr>
        <w:t>1</w:t>
      </w:r>
      <w:r>
        <w:rPr>
          <w:rFonts w:hint="eastAsia"/>
          <w:color w:val="auto"/>
          <w:highlight w:val="none"/>
        </w:rPr>
        <w:t xml:space="preserve">  钢筋的牌号、规格、数量、位置、间距等；</w:t>
      </w:r>
    </w:p>
    <w:p>
      <w:pPr>
        <w:ind w:firstLine="440" w:firstLineChars="200"/>
        <w:jc w:val="left"/>
        <w:rPr>
          <w:color w:val="auto"/>
          <w:highlight w:val="none"/>
        </w:rPr>
      </w:pPr>
      <w:r>
        <w:rPr>
          <w:b/>
          <w:bCs/>
          <w:color w:val="auto"/>
          <w:highlight w:val="none"/>
        </w:rPr>
        <w:t>2</w:t>
      </w:r>
      <w:r>
        <w:rPr>
          <w:rFonts w:hint="eastAsia"/>
          <w:color w:val="auto"/>
          <w:highlight w:val="none"/>
        </w:rPr>
        <w:t xml:space="preserve">  纵向受力钢筋的连接方式、接头位置、接头质量、接头面积百分率、搭接长度、锚固方式及锚固长度；</w:t>
      </w:r>
    </w:p>
    <w:p>
      <w:pPr>
        <w:ind w:firstLine="440" w:firstLineChars="200"/>
        <w:jc w:val="left"/>
        <w:rPr>
          <w:color w:val="auto"/>
          <w:highlight w:val="none"/>
        </w:rPr>
      </w:pPr>
      <w:r>
        <w:rPr>
          <w:b/>
          <w:bCs/>
          <w:color w:val="auto"/>
          <w:highlight w:val="none"/>
        </w:rPr>
        <w:t>3</w:t>
      </w:r>
      <w:r>
        <w:rPr>
          <w:rFonts w:hint="eastAsia"/>
          <w:color w:val="auto"/>
          <w:highlight w:val="none"/>
        </w:rPr>
        <w:t xml:space="preserve">  箍筋弯钩的弯折角度及平直段长度；</w:t>
      </w:r>
    </w:p>
    <w:p>
      <w:pPr>
        <w:ind w:firstLine="440" w:firstLineChars="200"/>
        <w:jc w:val="left"/>
        <w:rPr>
          <w:color w:val="auto"/>
          <w:highlight w:val="none"/>
        </w:rPr>
      </w:pPr>
      <w:r>
        <w:rPr>
          <w:b/>
          <w:bCs/>
          <w:color w:val="auto"/>
          <w:highlight w:val="none"/>
        </w:rPr>
        <w:t>4</w:t>
      </w:r>
      <w:r>
        <w:rPr>
          <w:rFonts w:hint="eastAsia"/>
          <w:color w:val="auto"/>
          <w:highlight w:val="none"/>
        </w:rPr>
        <w:t xml:space="preserve">  钢筋的混凝土保护层厚度；</w:t>
      </w:r>
    </w:p>
    <w:p>
      <w:pPr>
        <w:ind w:firstLine="440" w:firstLineChars="200"/>
        <w:jc w:val="left"/>
        <w:rPr>
          <w:color w:val="auto"/>
          <w:highlight w:val="none"/>
        </w:rPr>
      </w:pPr>
      <w:r>
        <w:rPr>
          <w:b/>
          <w:bCs/>
          <w:color w:val="auto"/>
          <w:highlight w:val="none"/>
        </w:rPr>
        <w:t>5</w:t>
      </w:r>
      <w:r>
        <w:rPr>
          <w:rFonts w:hint="eastAsia"/>
          <w:color w:val="auto"/>
          <w:highlight w:val="none"/>
        </w:rPr>
        <w:t xml:space="preserve">  预埋件、吊环、插筋、灌浆套筒、预留孔洞的规格、数量、位置及固定措施；</w:t>
      </w:r>
    </w:p>
    <w:p>
      <w:pPr>
        <w:ind w:firstLine="440" w:firstLineChars="200"/>
        <w:jc w:val="left"/>
        <w:rPr>
          <w:color w:val="auto"/>
          <w:highlight w:val="none"/>
        </w:rPr>
      </w:pPr>
      <w:r>
        <w:rPr>
          <w:b/>
          <w:bCs/>
          <w:color w:val="auto"/>
          <w:highlight w:val="none"/>
        </w:rPr>
        <w:t>6</w:t>
      </w:r>
      <w:r>
        <w:rPr>
          <w:rFonts w:hint="eastAsia"/>
          <w:color w:val="auto"/>
          <w:highlight w:val="none"/>
        </w:rPr>
        <w:t xml:space="preserve">  预埋线盒和管线的规格、数量、位置及固定措施；</w:t>
      </w:r>
    </w:p>
    <w:p>
      <w:pPr>
        <w:ind w:firstLine="440" w:firstLineChars="200"/>
        <w:jc w:val="left"/>
        <w:rPr>
          <w:color w:val="auto"/>
          <w:highlight w:val="none"/>
        </w:rPr>
      </w:pPr>
      <w:r>
        <w:rPr>
          <w:b/>
          <w:bCs/>
          <w:color w:val="auto"/>
          <w:highlight w:val="none"/>
        </w:rPr>
        <w:t>7</w:t>
      </w:r>
      <w:r>
        <w:rPr>
          <w:rFonts w:hint="eastAsia"/>
          <w:color w:val="auto"/>
          <w:highlight w:val="none"/>
        </w:rPr>
        <w:t xml:space="preserve">  预留孔道的规格、数量、位置，灌浆孔、排气孔、锚固区局部加强构造。</w:t>
      </w:r>
    </w:p>
    <w:p>
      <w:pPr>
        <w:numPr>
          <w:ilvl w:val="0"/>
          <w:numId w:val="25"/>
        </w:numPr>
        <w:jc w:val="left"/>
        <w:rPr>
          <w:color w:val="auto"/>
          <w:highlight w:val="none"/>
        </w:rPr>
      </w:pPr>
      <w:r>
        <w:rPr>
          <w:rFonts w:hint="eastAsia"/>
          <w:color w:val="auto"/>
          <w:highlight w:val="none"/>
        </w:rPr>
        <w:t>混凝土浇筑时应布料均衡，浇筑和振捣应采取防止模具、钢筋、预埋件及其定位件移位的措施。</w:t>
      </w:r>
    </w:p>
    <w:p>
      <w:pPr>
        <w:numPr>
          <w:ilvl w:val="0"/>
          <w:numId w:val="25"/>
        </w:numPr>
        <w:jc w:val="left"/>
        <w:rPr>
          <w:color w:val="auto"/>
          <w:highlight w:val="none"/>
        </w:rPr>
      </w:pPr>
      <w:r>
        <w:rPr>
          <w:rFonts w:hint="eastAsia"/>
          <w:color w:val="auto"/>
          <w:highlight w:val="none"/>
        </w:rPr>
        <w:t>混凝土浇筑应保证混凝土的均匀性和密实性。模块单元应根据形状、规格和材料等确定浇筑次数，宜分层浇筑。</w:t>
      </w:r>
    </w:p>
    <w:p>
      <w:pPr>
        <w:numPr>
          <w:ilvl w:val="0"/>
          <w:numId w:val="25"/>
        </w:numPr>
        <w:jc w:val="left"/>
        <w:rPr>
          <w:color w:val="auto"/>
          <w:highlight w:val="none"/>
        </w:rPr>
      </w:pPr>
      <w:r>
        <w:rPr>
          <w:rFonts w:hint="eastAsia"/>
          <w:color w:val="auto"/>
          <w:highlight w:val="none"/>
        </w:rPr>
        <w:t>当模块单元制造需要多次浇筑时，应符合下列规定：</w:t>
      </w:r>
    </w:p>
    <w:p>
      <w:pPr>
        <w:ind w:firstLine="440" w:firstLineChars="200"/>
        <w:rPr>
          <w:color w:val="auto"/>
          <w:highlight w:val="none"/>
        </w:rPr>
      </w:pPr>
      <w:r>
        <w:rPr>
          <w:rFonts w:hint="eastAsia"/>
          <w:b/>
          <w:bCs/>
          <w:color w:val="auto"/>
          <w:highlight w:val="none"/>
        </w:rPr>
        <w:t>1</w:t>
      </w:r>
      <w:r>
        <w:rPr>
          <w:color w:val="auto"/>
          <w:highlight w:val="none"/>
        </w:rPr>
        <w:t xml:space="preserve">  </w:t>
      </w:r>
      <w:r>
        <w:rPr>
          <w:rFonts w:hint="eastAsia"/>
          <w:color w:val="auto"/>
          <w:highlight w:val="none"/>
        </w:rPr>
        <w:t>结合面应为粗糙面，并应清除浮浆、松动石子、软弱混凝土层；</w:t>
      </w:r>
    </w:p>
    <w:p>
      <w:pPr>
        <w:ind w:firstLine="440" w:firstLineChars="200"/>
        <w:rPr>
          <w:color w:val="auto"/>
          <w:highlight w:val="none"/>
        </w:rPr>
      </w:pPr>
      <w:bookmarkStart w:id="1047" w:name="_Toc3255"/>
      <w:bookmarkStart w:id="1048" w:name="_Toc23894"/>
      <w:r>
        <w:rPr>
          <w:rFonts w:hint="eastAsia"/>
          <w:b/>
          <w:bCs/>
          <w:color w:val="auto"/>
          <w:highlight w:val="none"/>
        </w:rPr>
        <w:t>2</w:t>
      </w:r>
      <w:r>
        <w:rPr>
          <w:color w:val="auto"/>
          <w:highlight w:val="none"/>
        </w:rPr>
        <w:t xml:space="preserve">  </w:t>
      </w:r>
      <w:r>
        <w:rPr>
          <w:rFonts w:hint="eastAsia"/>
          <w:color w:val="auto"/>
          <w:highlight w:val="none"/>
        </w:rPr>
        <w:t>结合面处应洒水湿润，但不得有积水；</w:t>
      </w:r>
      <w:bookmarkEnd w:id="1047"/>
      <w:bookmarkEnd w:id="1048"/>
    </w:p>
    <w:p>
      <w:pPr>
        <w:ind w:firstLine="440" w:firstLineChars="200"/>
        <w:rPr>
          <w:color w:val="auto"/>
          <w:highlight w:val="none"/>
        </w:rPr>
      </w:pPr>
      <w:r>
        <w:rPr>
          <w:rFonts w:hint="eastAsia"/>
          <w:b/>
          <w:bCs/>
          <w:color w:val="auto"/>
          <w:highlight w:val="none"/>
        </w:rPr>
        <w:t>3</w:t>
      </w:r>
      <w:r>
        <w:rPr>
          <w:color w:val="auto"/>
          <w:highlight w:val="none"/>
        </w:rPr>
        <w:t xml:space="preserve">  </w:t>
      </w:r>
      <w:r>
        <w:rPr>
          <w:rFonts w:hint="eastAsia"/>
          <w:color w:val="auto"/>
          <w:highlight w:val="none"/>
        </w:rPr>
        <w:t>后浇混凝土强度等级及性能应符合设计要求，宜采用减少收缩的技术措施。</w:t>
      </w:r>
    </w:p>
    <w:p>
      <w:pPr>
        <w:numPr>
          <w:ilvl w:val="0"/>
          <w:numId w:val="25"/>
        </w:numPr>
        <w:jc w:val="left"/>
        <w:rPr>
          <w:color w:val="auto"/>
          <w:highlight w:val="none"/>
        </w:rPr>
      </w:pPr>
      <w:r>
        <w:rPr>
          <w:rFonts w:hint="eastAsia"/>
          <w:color w:val="auto"/>
          <w:highlight w:val="none"/>
        </w:rPr>
        <w:t>混凝土模块粗糙面成型应符合下列规定：</w:t>
      </w:r>
    </w:p>
    <w:p>
      <w:pPr>
        <w:ind w:firstLine="440" w:firstLineChars="200"/>
        <w:rPr>
          <w:color w:val="auto"/>
          <w:highlight w:val="none"/>
        </w:rPr>
      </w:pPr>
      <w:r>
        <w:rPr>
          <w:b/>
          <w:color w:val="auto"/>
          <w:highlight w:val="none"/>
        </w:rPr>
        <w:t xml:space="preserve">1  </w:t>
      </w:r>
      <w:r>
        <w:rPr>
          <w:rFonts w:hint="eastAsia"/>
          <w:color w:val="auto"/>
          <w:highlight w:val="none"/>
        </w:rPr>
        <w:t>模块粗糙面可采用模板面预涂缓凝剂工艺，骨料可采用高压水冲洗露出；</w:t>
      </w:r>
    </w:p>
    <w:p>
      <w:pPr>
        <w:ind w:firstLine="440" w:firstLineChars="200"/>
        <w:rPr>
          <w:color w:val="auto"/>
          <w:highlight w:val="none"/>
        </w:rPr>
      </w:pPr>
      <w:bookmarkStart w:id="1049" w:name="_Toc9344"/>
      <w:bookmarkStart w:id="1050" w:name="_Toc20598"/>
      <w:r>
        <w:rPr>
          <w:b/>
          <w:color w:val="auto"/>
          <w:highlight w:val="none"/>
        </w:rPr>
        <w:t xml:space="preserve">2  </w:t>
      </w:r>
      <w:r>
        <w:rPr>
          <w:rFonts w:hint="eastAsia"/>
          <w:color w:val="auto"/>
          <w:highlight w:val="none"/>
        </w:rPr>
        <w:t>模块粗糙面可在混凝土初凝前进行拉毛处理。</w:t>
      </w:r>
      <w:bookmarkEnd w:id="1049"/>
      <w:bookmarkEnd w:id="1050"/>
    </w:p>
    <w:p>
      <w:pPr>
        <w:numPr>
          <w:ilvl w:val="0"/>
          <w:numId w:val="25"/>
        </w:numPr>
        <w:jc w:val="left"/>
        <w:rPr>
          <w:color w:val="auto"/>
          <w:highlight w:val="none"/>
        </w:rPr>
      </w:pPr>
      <w:bookmarkStart w:id="1051" w:name="_Toc4737"/>
      <w:bookmarkStart w:id="1052" w:name="_Toc30278"/>
      <w:r>
        <w:rPr>
          <w:rFonts w:hint="eastAsia"/>
          <w:color w:val="auto"/>
          <w:highlight w:val="none"/>
        </w:rPr>
        <w:t>混凝土振捣应符合下列规定：</w:t>
      </w:r>
      <w:bookmarkEnd w:id="1051"/>
      <w:bookmarkEnd w:id="1052"/>
    </w:p>
    <w:p>
      <w:pPr>
        <w:ind w:firstLine="440" w:firstLineChars="200"/>
        <w:rPr>
          <w:color w:val="auto"/>
          <w:highlight w:val="none"/>
        </w:rPr>
      </w:pPr>
      <w:r>
        <w:rPr>
          <w:b/>
          <w:color w:val="auto"/>
          <w:highlight w:val="none"/>
        </w:rPr>
        <w:t>1</w:t>
      </w:r>
      <w:r>
        <w:rPr>
          <w:color w:val="auto"/>
          <w:highlight w:val="none"/>
        </w:rPr>
        <w:t xml:space="preserve">  </w:t>
      </w:r>
      <w:r>
        <w:rPr>
          <w:rFonts w:hint="eastAsia"/>
          <w:color w:val="auto"/>
          <w:highlight w:val="none"/>
        </w:rPr>
        <w:t>混凝土振捣应能使模具或模板内各个部位混凝土密实、均匀，不应漏振、欠振、过振；</w:t>
      </w:r>
    </w:p>
    <w:p>
      <w:pPr>
        <w:ind w:firstLine="440" w:firstLineChars="200"/>
        <w:rPr>
          <w:color w:val="auto"/>
          <w:highlight w:val="none"/>
        </w:rPr>
      </w:pPr>
      <w:r>
        <w:rPr>
          <w:b/>
          <w:color w:val="auto"/>
          <w:highlight w:val="none"/>
        </w:rPr>
        <w:t>2</w:t>
      </w:r>
      <w:r>
        <w:rPr>
          <w:color w:val="auto"/>
          <w:highlight w:val="none"/>
        </w:rPr>
        <w:t xml:space="preserve">  </w:t>
      </w:r>
      <w:r>
        <w:rPr>
          <w:rFonts w:hint="eastAsia"/>
          <w:color w:val="auto"/>
          <w:highlight w:val="none"/>
        </w:rPr>
        <w:t>混凝土振捣宜采用插入式振动棒、平板振动器、附着振动器或其他机械振捣方式。振捣方式和振捣设备应根据混凝土品种、工作性、模块预制部位的规格和形状等因素确定。</w:t>
      </w:r>
    </w:p>
    <w:p>
      <w:pPr>
        <w:numPr>
          <w:ilvl w:val="0"/>
          <w:numId w:val="25"/>
        </w:numPr>
        <w:jc w:val="left"/>
        <w:rPr>
          <w:color w:val="auto"/>
          <w:highlight w:val="none"/>
        </w:rPr>
      </w:pPr>
      <w:bookmarkStart w:id="1053" w:name="_Toc19717"/>
      <w:bookmarkStart w:id="1054" w:name="_Toc27472"/>
      <w:r>
        <w:rPr>
          <w:rFonts w:hint="eastAsia"/>
          <w:color w:val="auto"/>
          <w:highlight w:val="none"/>
        </w:rPr>
        <w:t>模块单元养护应符合下列规定：</w:t>
      </w:r>
      <w:bookmarkEnd w:id="1053"/>
      <w:bookmarkEnd w:id="1054"/>
    </w:p>
    <w:p>
      <w:pPr>
        <w:ind w:firstLine="440" w:firstLineChars="200"/>
        <w:rPr>
          <w:color w:val="auto"/>
          <w:highlight w:val="none"/>
        </w:rPr>
      </w:pPr>
      <w:r>
        <w:rPr>
          <w:b/>
          <w:color w:val="auto"/>
          <w:highlight w:val="none"/>
        </w:rPr>
        <w:t xml:space="preserve">1  </w:t>
      </w:r>
      <w:r>
        <w:rPr>
          <w:rFonts w:hint="eastAsia"/>
          <w:color w:val="auto"/>
          <w:highlight w:val="none"/>
        </w:rPr>
        <w:t>养护方式宜根据模块单元特点和制造任务量选择自然养护、自然养护加养护剂或加热养护方式；</w:t>
      </w:r>
    </w:p>
    <w:p>
      <w:pPr>
        <w:ind w:firstLine="440" w:firstLineChars="200"/>
        <w:rPr>
          <w:color w:val="auto"/>
          <w:highlight w:val="none"/>
        </w:rPr>
      </w:pPr>
      <w:r>
        <w:rPr>
          <w:b/>
          <w:color w:val="auto"/>
          <w:highlight w:val="none"/>
        </w:rPr>
        <w:t xml:space="preserve">2  </w:t>
      </w:r>
      <w:r>
        <w:rPr>
          <w:rFonts w:hint="eastAsia"/>
          <w:color w:val="auto"/>
          <w:highlight w:val="none"/>
        </w:rPr>
        <w:t>模块单元养护应制定专门养护方案，满足温度、湿度的要求；</w:t>
      </w:r>
    </w:p>
    <w:p>
      <w:pPr>
        <w:ind w:firstLine="440" w:firstLineChars="200"/>
        <w:rPr>
          <w:color w:val="auto"/>
          <w:highlight w:val="none"/>
        </w:rPr>
      </w:pPr>
      <w:r>
        <w:rPr>
          <w:b/>
          <w:color w:val="auto"/>
          <w:highlight w:val="none"/>
        </w:rPr>
        <w:t xml:space="preserve">3  </w:t>
      </w:r>
      <w:r>
        <w:rPr>
          <w:rFonts w:hint="eastAsia"/>
          <w:color w:val="auto"/>
          <w:highlight w:val="none"/>
        </w:rPr>
        <w:t>模块单元的凹槽、阴角等位置应注意养护到位。</w:t>
      </w:r>
    </w:p>
    <w:p>
      <w:pPr>
        <w:numPr>
          <w:ilvl w:val="0"/>
          <w:numId w:val="25"/>
        </w:numPr>
        <w:jc w:val="left"/>
        <w:rPr>
          <w:color w:val="auto"/>
          <w:highlight w:val="none"/>
        </w:rPr>
      </w:pPr>
      <w:r>
        <w:rPr>
          <w:rFonts w:hint="eastAsia"/>
          <w:color w:val="auto"/>
          <w:highlight w:val="none"/>
        </w:rPr>
        <w:t>模块单元脱模起吊时，应符合下列规定：</w:t>
      </w:r>
    </w:p>
    <w:p>
      <w:pPr>
        <w:ind w:firstLine="440" w:firstLineChars="200"/>
        <w:rPr>
          <w:color w:val="auto"/>
          <w:highlight w:val="none"/>
        </w:rPr>
      </w:pPr>
      <w:r>
        <w:rPr>
          <w:rFonts w:hint="eastAsia"/>
          <w:b/>
          <w:color w:val="auto"/>
          <w:highlight w:val="none"/>
        </w:rPr>
        <w:t>1</w:t>
      </w:r>
      <w:r>
        <w:rPr>
          <w:color w:val="auto"/>
          <w:highlight w:val="none"/>
        </w:rPr>
        <w:t xml:space="preserve">  </w:t>
      </w:r>
      <w:r>
        <w:rPr>
          <w:rFonts w:hint="eastAsia"/>
          <w:color w:val="auto"/>
          <w:highlight w:val="none"/>
        </w:rPr>
        <w:t>混凝土立方体抗压强度应经实验确定，且不宜小于</w:t>
      </w:r>
      <w:r>
        <w:rPr>
          <w:color w:val="auto"/>
          <w:highlight w:val="none"/>
        </w:rPr>
        <w:t>15MPa</w:t>
      </w:r>
      <w:r>
        <w:rPr>
          <w:rFonts w:hint="eastAsia"/>
          <w:color w:val="auto"/>
          <w:highlight w:val="none"/>
        </w:rPr>
        <w:t>；</w:t>
      </w:r>
    </w:p>
    <w:p>
      <w:pPr>
        <w:ind w:firstLine="440" w:firstLineChars="200"/>
        <w:rPr>
          <w:color w:val="auto"/>
          <w:highlight w:val="none"/>
        </w:rPr>
      </w:pPr>
      <w:r>
        <w:rPr>
          <w:rFonts w:hint="eastAsia"/>
          <w:b/>
          <w:color w:val="auto"/>
          <w:highlight w:val="none"/>
        </w:rPr>
        <w:t>2</w:t>
      </w:r>
      <w:r>
        <w:rPr>
          <w:color w:val="auto"/>
          <w:highlight w:val="none"/>
        </w:rPr>
        <w:t xml:space="preserve">  </w:t>
      </w:r>
      <w:r>
        <w:rPr>
          <w:rFonts w:hint="eastAsia"/>
          <w:color w:val="auto"/>
          <w:highlight w:val="none"/>
        </w:rPr>
        <w:t>对于设有门洞、窗洞等较大洞口的模块单元，脱模起吊时应进行加固；</w:t>
      </w:r>
    </w:p>
    <w:p>
      <w:pPr>
        <w:ind w:firstLine="440" w:firstLineChars="200"/>
        <w:rPr>
          <w:color w:val="auto"/>
          <w:highlight w:val="none"/>
        </w:rPr>
      </w:pPr>
      <w:bookmarkStart w:id="1055" w:name="_Toc24129"/>
      <w:bookmarkStart w:id="1056" w:name="_Toc28800"/>
      <w:r>
        <w:rPr>
          <w:rFonts w:hint="eastAsia"/>
          <w:b/>
          <w:color w:val="auto"/>
          <w:highlight w:val="none"/>
        </w:rPr>
        <w:t>3</w:t>
      </w:r>
      <w:r>
        <w:rPr>
          <w:color w:val="auto"/>
          <w:highlight w:val="none"/>
        </w:rPr>
        <w:t xml:space="preserve">  </w:t>
      </w:r>
      <w:r>
        <w:rPr>
          <w:rFonts w:hint="eastAsia"/>
          <w:color w:val="auto"/>
          <w:highlight w:val="none"/>
        </w:rPr>
        <w:t>模块单元的脱模起吊宜采用平衡吊架。</w:t>
      </w:r>
      <w:bookmarkEnd w:id="1055"/>
      <w:bookmarkEnd w:id="1056"/>
    </w:p>
    <w:p>
      <w:pPr>
        <w:numPr>
          <w:ilvl w:val="0"/>
          <w:numId w:val="25"/>
        </w:numPr>
        <w:jc w:val="left"/>
        <w:rPr>
          <w:color w:val="auto"/>
          <w:highlight w:val="none"/>
        </w:rPr>
      </w:pPr>
      <w:r>
        <w:rPr>
          <w:rFonts w:hint="eastAsia"/>
          <w:color w:val="auto"/>
          <w:highlight w:val="none"/>
        </w:rPr>
        <w:t>混凝土强度应符合设计文件及国家现行有关标准的规定：</w:t>
      </w:r>
    </w:p>
    <w:p>
      <w:pPr>
        <w:ind w:firstLine="440" w:firstLineChars="200"/>
        <w:rPr>
          <w:color w:val="auto"/>
          <w:szCs w:val="24"/>
          <w:highlight w:val="none"/>
        </w:rPr>
      </w:pPr>
      <w:r>
        <w:rPr>
          <w:rFonts w:hint="eastAsia"/>
          <w:color w:val="auto"/>
          <w:szCs w:val="24"/>
          <w:highlight w:val="none"/>
        </w:rPr>
        <w:t>检查数量与检验方法：应符合现行国家标准《混凝土强度检验评定标准》</w:t>
      </w:r>
      <w:r>
        <w:rPr>
          <w:color w:val="auto"/>
          <w:szCs w:val="24"/>
          <w:highlight w:val="none"/>
        </w:rPr>
        <w:t>GB/T 50107</w:t>
      </w:r>
      <w:r>
        <w:rPr>
          <w:rFonts w:hint="eastAsia"/>
          <w:color w:val="auto"/>
          <w:szCs w:val="24"/>
          <w:highlight w:val="none"/>
        </w:rPr>
        <w:t>有关规定。</w:t>
      </w:r>
    </w:p>
    <w:p>
      <w:pPr>
        <w:pStyle w:val="4"/>
        <w:rPr>
          <w:color w:val="auto"/>
          <w:highlight w:val="none"/>
        </w:rPr>
      </w:pPr>
      <w:bookmarkStart w:id="1057" w:name="_Toc18978"/>
      <w:bookmarkStart w:id="1058" w:name="_Toc15365"/>
      <w:bookmarkStart w:id="1059" w:name="_Toc2887"/>
      <w:bookmarkStart w:id="1060" w:name="_Toc11459"/>
      <w:bookmarkStart w:id="1061" w:name="_Toc1665"/>
      <w:bookmarkStart w:id="1062" w:name="_Toc3680"/>
      <w:bookmarkStart w:id="1063" w:name="_Toc15414"/>
      <w:bookmarkStart w:id="1064" w:name="_Toc21316"/>
      <w:bookmarkStart w:id="1065" w:name="_Toc19626"/>
      <w:bookmarkStart w:id="1066" w:name="_Toc11983"/>
      <w:bookmarkStart w:id="1067" w:name="_Toc17491"/>
      <w:bookmarkStart w:id="1068" w:name="_Toc6135"/>
      <w:bookmarkStart w:id="1069" w:name="_Toc7488"/>
      <w:bookmarkStart w:id="1070" w:name="_Toc22928"/>
      <w:bookmarkStart w:id="1071" w:name="_Toc27029"/>
      <w:bookmarkStart w:id="1072" w:name="_Toc7742"/>
      <w:bookmarkStart w:id="1073" w:name="_Toc9881"/>
      <w:bookmarkStart w:id="1074" w:name="_Toc3531"/>
      <w:bookmarkStart w:id="1075" w:name="_Toc11675"/>
      <w:bookmarkStart w:id="1076" w:name="_Toc6059"/>
      <w:bookmarkStart w:id="1077" w:name="_Toc31599"/>
      <w:bookmarkStart w:id="1078" w:name="_Toc26917"/>
      <w:bookmarkStart w:id="1079" w:name="_Toc2253"/>
      <w:bookmarkStart w:id="1080" w:name="_Toc13539"/>
      <w:bookmarkStart w:id="1081" w:name="_Toc15637"/>
      <w:bookmarkStart w:id="1082" w:name="_Toc16860"/>
      <w:bookmarkStart w:id="1083" w:name="_Toc32468"/>
      <w:bookmarkStart w:id="1084" w:name="_Toc15765"/>
      <w:bookmarkStart w:id="1085" w:name="_Toc89"/>
      <w:bookmarkStart w:id="1086" w:name="_Toc23637"/>
      <w:bookmarkStart w:id="1087" w:name="_Toc26441"/>
      <w:bookmarkStart w:id="1088" w:name="_Toc10970"/>
      <w:bookmarkStart w:id="1089" w:name="_Toc22350"/>
      <w:r>
        <w:rPr>
          <w:rFonts w:hint="eastAsia"/>
          <w:b/>
          <w:bCs w:val="0"/>
          <w:color w:val="auto"/>
          <w:highlight w:val="none"/>
        </w:rPr>
        <w:t>8</w:t>
      </w:r>
      <w:r>
        <w:rPr>
          <w:rFonts w:hint="eastAsia" w:ascii="宋体" w:hAnsi="宋体" w:eastAsia="宋体"/>
          <w:color w:val="auto"/>
          <w:szCs w:val="21"/>
          <w:highlight w:val="none"/>
        </w:rPr>
        <w:t>.</w:t>
      </w:r>
      <w:r>
        <w:rPr>
          <w:rFonts w:hint="eastAsia"/>
          <w:b/>
          <w:bCs w:val="0"/>
          <w:color w:val="auto"/>
          <w:highlight w:val="none"/>
        </w:rPr>
        <w:t>4</w:t>
      </w:r>
      <w:r>
        <w:rPr>
          <w:rFonts w:hint="eastAsia"/>
          <w:color w:val="auto"/>
          <w:highlight w:val="none"/>
        </w:rPr>
        <w:t xml:space="preserve">  设备管线安装及装修</w:t>
      </w:r>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p>
    <w:p>
      <w:pPr>
        <w:numPr>
          <w:ilvl w:val="0"/>
          <w:numId w:val="26"/>
        </w:numPr>
        <w:rPr>
          <w:color w:val="auto"/>
          <w:highlight w:val="none"/>
        </w:rPr>
      </w:pPr>
      <w:r>
        <w:rPr>
          <w:rFonts w:hint="eastAsia"/>
          <w:color w:val="auto"/>
          <w:highlight w:val="none"/>
        </w:rPr>
        <w:t>模块单元的设备管线安装前，应按设计图纸核对预留预埋套管、线盒、预留孔洞及开槽的定位和尺寸，并应区分模块工厂集成部分和现场施工部分。</w:t>
      </w:r>
    </w:p>
    <w:p>
      <w:pPr>
        <w:numPr>
          <w:ilvl w:val="0"/>
          <w:numId w:val="26"/>
        </w:numPr>
        <w:rPr>
          <w:color w:val="auto"/>
          <w:highlight w:val="none"/>
        </w:rPr>
      </w:pPr>
      <w:r>
        <w:rPr>
          <w:rFonts w:hint="eastAsia"/>
          <w:color w:val="auto"/>
          <w:highlight w:val="none"/>
        </w:rPr>
        <w:t>相邻模块单元之间的机电管线连接，宜采用接缝两边预留过路箱的方式。</w:t>
      </w:r>
    </w:p>
    <w:p>
      <w:pPr>
        <w:numPr>
          <w:ilvl w:val="0"/>
          <w:numId w:val="26"/>
        </w:numPr>
        <w:rPr>
          <w:color w:val="auto"/>
          <w:highlight w:val="none"/>
        </w:rPr>
      </w:pPr>
      <w:r>
        <w:rPr>
          <w:rFonts w:hint="eastAsia"/>
          <w:color w:val="auto"/>
          <w:highlight w:val="none"/>
        </w:rPr>
        <w:t>设备与管线的现场连接安装应符合现行国家标准《建筑给水排水及采暖工程施工质量验收规范》GB 50242和《通风与空调工程施工质量验收规范》GB 50243的有关规定，并应符合下列规定：</w:t>
      </w:r>
    </w:p>
    <w:p>
      <w:pPr>
        <w:ind w:firstLine="440" w:firstLineChars="200"/>
        <w:rPr>
          <w:color w:val="auto"/>
          <w:highlight w:val="none"/>
        </w:rPr>
      </w:pPr>
      <w:r>
        <w:rPr>
          <w:b/>
          <w:bCs/>
          <w:color w:val="auto"/>
          <w:kern w:val="0"/>
          <w:szCs w:val="24"/>
          <w:highlight w:val="none"/>
          <w:lang w:bidi="ar"/>
        </w:rPr>
        <w:t xml:space="preserve">1 </w:t>
      </w:r>
      <w:r>
        <w:rPr>
          <w:rFonts w:hint="eastAsia"/>
          <w:b/>
          <w:bCs/>
          <w:color w:val="auto"/>
          <w:kern w:val="0"/>
          <w:szCs w:val="24"/>
          <w:highlight w:val="none"/>
          <w:lang w:bidi="ar"/>
        </w:rPr>
        <w:t xml:space="preserve"> </w:t>
      </w:r>
      <w:r>
        <w:rPr>
          <w:rFonts w:hint="eastAsia" w:ascii="宋体" w:hAnsi="宋体" w:cs="宋体"/>
          <w:color w:val="auto"/>
          <w:kern w:val="0"/>
          <w:szCs w:val="24"/>
          <w:highlight w:val="none"/>
          <w:lang w:bidi="ar"/>
        </w:rPr>
        <w:t>模块</w:t>
      </w:r>
      <w:r>
        <w:rPr>
          <w:rFonts w:hint="eastAsia"/>
          <w:color w:val="auto"/>
          <w:highlight w:val="none"/>
        </w:rPr>
        <w:t>单元</w:t>
      </w:r>
      <w:r>
        <w:rPr>
          <w:rFonts w:hint="eastAsia" w:ascii="宋体" w:hAnsi="宋体" w:cs="宋体"/>
          <w:color w:val="auto"/>
          <w:kern w:val="0"/>
          <w:szCs w:val="24"/>
          <w:highlight w:val="none"/>
          <w:lang w:bidi="ar"/>
        </w:rPr>
        <w:t>之间水管的连接应在模块</w:t>
      </w:r>
      <w:r>
        <w:rPr>
          <w:rFonts w:hint="eastAsia"/>
          <w:color w:val="auto"/>
          <w:highlight w:val="none"/>
        </w:rPr>
        <w:t>单元</w:t>
      </w:r>
      <w:r>
        <w:rPr>
          <w:rFonts w:hint="eastAsia" w:ascii="宋体" w:hAnsi="宋体" w:cs="宋体"/>
          <w:color w:val="auto"/>
          <w:kern w:val="0"/>
          <w:szCs w:val="24"/>
          <w:highlight w:val="none"/>
          <w:lang w:bidi="ar"/>
        </w:rPr>
        <w:t>拼装完成后实施，并应分别进行排水管灌水及通球试验，给水管道的严密性及强度试验；</w:t>
      </w:r>
    </w:p>
    <w:p>
      <w:pPr>
        <w:ind w:firstLine="440" w:firstLineChars="200"/>
        <w:rPr>
          <w:rFonts w:hint="eastAsia" w:ascii="宋体" w:hAnsi="宋体" w:cs="宋体"/>
          <w:color w:val="auto"/>
          <w:kern w:val="0"/>
          <w:szCs w:val="24"/>
          <w:highlight w:val="none"/>
          <w:lang w:bidi="ar"/>
        </w:rPr>
      </w:pPr>
      <w:bookmarkStart w:id="1090" w:name="_Toc12337"/>
      <w:bookmarkStart w:id="1091" w:name="_Toc25712"/>
      <w:r>
        <w:rPr>
          <w:b/>
          <w:bCs/>
          <w:color w:val="auto"/>
          <w:kern w:val="0"/>
          <w:szCs w:val="24"/>
          <w:highlight w:val="none"/>
          <w:lang w:bidi="ar"/>
        </w:rPr>
        <w:t xml:space="preserve">2  </w:t>
      </w:r>
      <w:r>
        <w:rPr>
          <w:rFonts w:hint="eastAsia" w:ascii="宋体" w:hAnsi="宋体" w:cs="宋体"/>
          <w:color w:val="auto"/>
          <w:kern w:val="0"/>
          <w:szCs w:val="24"/>
          <w:highlight w:val="none"/>
          <w:lang w:bidi="ar"/>
        </w:rPr>
        <w:t>模块</w:t>
      </w:r>
      <w:r>
        <w:rPr>
          <w:rFonts w:hint="eastAsia"/>
          <w:color w:val="auto"/>
          <w:highlight w:val="none"/>
        </w:rPr>
        <w:t>单元</w:t>
      </w:r>
      <w:r>
        <w:rPr>
          <w:rFonts w:hint="eastAsia" w:ascii="宋体" w:hAnsi="宋体" w:cs="宋体"/>
          <w:color w:val="auto"/>
          <w:kern w:val="0"/>
          <w:szCs w:val="24"/>
          <w:highlight w:val="none"/>
          <w:lang w:bidi="ar"/>
        </w:rPr>
        <w:t>间风管的现场连接宜采用法兰连接；</w:t>
      </w:r>
      <w:bookmarkEnd w:id="1090"/>
      <w:bookmarkEnd w:id="1091"/>
    </w:p>
    <w:p>
      <w:pPr>
        <w:ind w:firstLine="440" w:firstLineChars="200"/>
        <w:jc w:val="left"/>
        <w:rPr>
          <w:rFonts w:hint="eastAsia" w:ascii="宋体" w:hAnsi="宋体" w:cs="宋体"/>
          <w:color w:val="auto"/>
          <w:kern w:val="0"/>
          <w:szCs w:val="24"/>
          <w:highlight w:val="none"/>
          <w:lang w:bidi="ar"/>
        </w:rPr>
      </w:pPr>
      <w:r>
        <w:rPr>
          <w:b/>
          <w:color w:val="auto"/>
          <w:kern w:val="0"/>
          <w:szCs w:val="24"/>
          <w:highlight w:val="none"/>
          <w:lang w:bidi="ar"/>
        </w:rPr>
        <w:t>3</w:t>
      </w:r>
      <w:r>
        <w:rPr>
          <w:rFonts w:ascii="宋体" w:hAnsi="宋体" w:cs="宋体"/>
          <w:color w:val="auto"/>
          <w:kern w:val="0"/>
          <w:szCs w:val="24"/>
          <w:highlight w:val="none"/>
          <w:lang w:bidi="ar"/>
        </w:rPr>
        <w:t xml:space="preserve">  </w:t>
      </w:r>
      <w:r>
        <w:rPr>
          <w:rFonts w:hint="eastAsia" w:ascii="宋体" w:hAnsi="宋体" w:cs="宋体"/>
          <w:color w:val="auto"/>
          <w:kern w:val="0"/>
          <w:szCs w:val="24"/>
          <w:highlight w:val="none"/>
          <w:lang w:bidi="ar"/>
        </w:rPr>
        <w:t>模块单元中机电管线及设备固定在模块</w:t>
      </w:r>
      <w:r>
        <w:rPr>
          <w:rFonts w:hint="eastAsia"/>
          <w:color w:val="auto"/>
          <w:highlight w:val="none"/>
        </w:rPr>
        <w:t>单元</w:t>
      </w:r>
      <w:r>
        <w:rPr>
          <w:rFonts w:hint="eastAsia" w:ascii="宋体" w:hAnsi="宋体" w:cs="宋体"/>
          <w:color w:val="auto"/>
          <w:kern w:val="0"/>
          <w:szCs w:val="24"/>
          <w:highlight w:val="none"/>
          <w:lang w:bidi="ar"/>
        </w:rPr>
        <w:t>顶板时，固定件不得穿透模块</w:t>
      </w:r>
      <w:r>
        <w:rPr>
          <w:rFonts w:hint="eastAsia"/>
          <w:color w:val="auto"/>
          <w:highlight w:val="none"/>
        </w:rPr>
        <w:t>单元</w:t>
      </w:r>
      <w:r>
        <w:rPr>
          <w:rFonts w:hint="eastAsia" w:ascii="宋体" w:hAnsi="宋体" w:cs="宋体"/>
          <w:color w:val="auto"/>
          <w:kern w:val="0"/>
          <w:szCs w:val="24"/>
          <w:highlight w:val="none"/>
          <w:lang w:bidi="ar"/>
        </w:rPr>
        <w:t>顶板，出厂前应进行淋水实验，不渗水、漏水为合格。</w:t>
      </w:r>
    </w:p>
    <w:p>
      <w:pPr>
        <w:numPr>
          <w:ilvl w:val="0"/>
          <w:numId w:val="26"/>
        </w:numPr>
        <w:jc w:val="left"/>
        <w:rPr>
          <w:color w:val="auto"/>
          <w:highlight w:val="none"/>
          <w:lang w:bidi="ar"/>
        </w:rPr>
      </w:pPr>
      <w:r>
        <w:rPr>
          <w:rFonts w:hint="eastAsia"/>
          <w:color w:val="auto"/>
          <w:highlight w:val="none"/>
          <w:lang w:bidi="ar"/>
        </w:rPr>
        <w:t>模块单元内的电气系统施工和安装应按现行国家标准《建筑电气工程施工质量验收规范》GB 50303和《智能建筑工程施工规范》GB 50606等的有关规定执行，管道设备等的安装及调试应在建筑装饰装修工程施工前完成，所有弱电线路应点对点进行测试，完成后才能封墙面板材。</w:t>
      </w:r>
    </w:p>
    <w:p>
      <w:pPr>
        <w:numPr>
          <w:ilvl w:val="0"/>
          <w:numId w:val="26"/>
        </w:numPr>
        <w:jc w:val="left"/>
        <w:rPr>
          <w:color w:val="auto"/>
          <w:highlight w:val="none"/>
          <w:lang w:bidi="ar"/>
        </w:rPr>
      </w:pPr>
      <w:r>
        <w:rPr>
          <w:rFonts w:hint="eastAsia"/>
          <w:color w:val="auto"/>
          <w:highlight w:val="none"/>
          <w:lang w:bidi="ar"/>
        </w:rPr>
        <w:t>模块单元内含防雷引下线的，应在防雷引下钢筋上作明显标识。</w:t>
      </w:r>
    </w:p>
    <w:p>
      <w:pPr>
        <w:numPr>
          <w:ilvl w:val="0"/>
          <w:numId w:val="26"/>
        </w:numPr>
        <w:rPr>
          <w:color w:val="auto"/>
          <w:highlight w:val="none"/>
          <w:lang w:bidi="ar"/>
        </w:rPr>
      </w:pPr>
      <w:r>
        <w:rPr>
          <w:rFonts w:hint="eastAsia"/>
          <w:color w:val="auto"/>
          <w:highlight w:val="none"/>
          <w:lang w:bidi="ar"/>
        </w:rPr>
        <w:t>针对模块单元设备与管线工程中的工序隐蔽，应经专业质检员检验合格方可进入下道工序，模块单元出厂前应</w:t>
      </w:r>
      <w:r>
        <w:rPr>
          <w:rFonts w:hint="eastAsia"/>
          <w:color w:val="auto"/>
          <w:highlight w:val="none"/>
          <w:lang w:eastAsia="zh-CN" w:bidi="ar"/>
        </w:rPr>
        <w:t>经过</w:t>
      </w:r>
      <w:r>
        <w:rPr>
          <w:rFonts w:hint="eastAsia"/>
          <w:color w:val="auto"/>
          <w:highlight w:val="none"/>
          <w:lang w:bidi="ar"/>
        </w:rPr>
        <w:t>必要的功能试验及检测。</w:t>
      </w:r>
    </w:p>
    <w:p>
      <w:pPr>
        <w:numPr>
          <w:ilvl w:val="0"/>
          <w:numId w:val="26"/>
        </w:numPr>
        <w:rPr>
          <w:color w:val="auto"/>
          <w:highlight w:val="none"/>
          <w:lang w:bidi="ar"/>
        </w:rPr>
      </w:pPr>
      <w:r>
        <w:rPr>
          <w:rFonts w:hint="eastAsia"/>
          <w:color w:val="auto"/>
          <w:highlight w:val="none"/>
          <w:lang w:bidi="ar"/>
        </w:rPr>
        <w:t>内装装修的安装次序宜按楼地面系统，轻质隔墙系统，吊顶系统的安装次序相配合。</w:t>
      </w:r>
    </w:p>
    <w:p>
      <w:pPr>
        <w:numPr>
          <w:ilvl w:val="0"/>
          <w:numId w:val="26"/>
        </w:numPr>
        <w:rPr>
          <w:color w:val="auto"/>
          <w:highlight w:val="none"/>
          <w:lang w:bidi="ar"/>
        </w:rPr>
      </w:pPr>
      <w:r>
        <w:rPr>
          <w:rFonts w:hint="eastAsia"/>
          <w:color w:val="auto"/>
          <w:highlight w:val="none"/>
          <w:lang w:bidi="ar"/>
        </w:rPr>
        <w:t>模块装修宜在接缝位置两侧预留现场安装区域。</w:t>
      </w:r>
    </w:p>
    <w:p>
      <w:pPr>
        <w:numPr>
          <w:ilvl w:val="0"/>
          <w:numId w:val="26"/>
        </w:numPr>
        <w:rPr>
          <w:color w:val="auto"/>
          <w:highlight w:val="none"/>
          <w:lang w:bidi="ar"/>
        </w:rPr>
      </w:pPr>
      <w:r>
        <w:rPr>
          <w:rFonts w:hint="eastAsia"/>
          <w:color w:val="auto"/>
          <w:highlight w:val="none"/>
          <w:lang w:bidi="ar"/>
        </w:rPr>
        <w:t>临时支撑构件的拆卸不应损坏已完成模块装修。</w:t>
      </w:r>
    </w:p>
    <w:p>
      <w:pPr>
        <w:pStyle w:val="4"/>
        <w:ind w:left="190"/>
        <w:rPr>
          <w:color w:val="auto"/>
          <w:highlight w:val="none"/>
        </w:rPr>
      </w:pPr>
      <w:bookmarkStart w:id="1092" w:name="_Toc9717"/>
      <w:bookmarkStart w:id="1093" w:name="_Toc4995"/>
      <w:bookmarkStart w:id="1094" w:name="_Toc27687"/>
      <w:bookmarkStart w:id="1095" w:name="_Toc24387"/>
      <w:bookmarkStart w:id="1096" w:name="_Toc13060"/>
      <w:bookmarkStart w:id="1097" w:name="_Toc11183"/>
      <w:bookmarkStart w:id="1098" w:name="_Toc15103"/>
      <w:bookmarkStart w:id="1099" w:name="_Toc82"/>
      <w:bookmarkStart w:id="1100" w:name="_Toc16258"/>
      <w:bookmarkStart w:id="1101" w:name="_Toc6597"/>
      <w:bookmarkStart w:id="1102" w:name="_Toc19837"/>
      <w:bookmarkStart w:id="1103" w:name="_Toc10877"/>
      <w:r>
        <w:rPr>
          <w:rFonts w:hint="eastAsia"/>
          <w:b/>
          <w:bCs w:val="0"/>
          <w:color w:val="auto"/>
          <w:highlight w:val="none"/>
        </w:rPr>
        <w:t>8</w:t>
      </w:r>
      <w:r>
        <w:rPr>
          <w:rFonts w:hint="eastAsia" w:ascii="宋体" w:hAnsi="宋体" w:eastAsia="宋体"/>
          <w:color w:val="auto"/>
          <w:szCs w:val="21"/>
          <w:highlight w:val="none"/>
        </w:rPr>
        <w:t>.</w:t>
      </w:r>
      <w:r>
        <w:rPr>
          <w:rFonts w:hint="eastAsia"/>
          <w:b/>
          <w:bCs w:val="0"/>
          <w:color w:val="auto"/>
          <w:highlight w:val="none"/>
        </w:rPr>
        <w:t>5</w:t>
      </w:r>
      <w:r>
        <w:rPr>
          <w:rFonts w:hint="eastAsia"/>
          <w:color w:val="auto"/>
          <w:highlight w:val="none"/>
        </w:rPr>
        <w:t xml:space="preserve">  </w:t>
      </w:r>
      <w:r>
        <w:rPr>
          <w:color w:val="auto"/>
          <w:highlight w:val="none"/>
        </w:rPr>
        <w:t>出厂检验及资料交付</w:t>
      </w:r>
      <w:bookmarkEnd w:id="1092"/>
      <w:bookmarkEnd w:id="1093"/>
      <w:bookmarkEnd w:id="1094"/>
      <w:bookmarkEnd w:id="1095"/>
      <w:bookmarkEnd w:id="1096"/>
      <w:bookmarkEnd w:id="1097"/>
      <w:bookmarkEnd w:id="1098"/>
      <w:bookmarkEnd w:id="1099"/>
      <w:bookmarkEnd w:id="1100"/>
      <w:bookmarkEnd w:id="1101"/>
      <w:bookmarkEnd w:id="1102"/>
      <w:bookmarkEnd w:id="1103"/>
    </w:p>
    <w:p>
      <w:pPr>
        <w:numPr>
          <w:ilvl w:val="0"/>
          <w:numId w:val="27"/>
        </w:numPr>
        <w:rPr>
          <w:color w:val="auto"/>
          <w:highlight w:val="none"/>
        </w:rPr>
      </w:pPr>
      <w:r>
        <w:rPr>
          <w:rFonts w:hint="eastAsia"/>
          <w:color w:val="auto"/>
          <w:highlight w:val="none"/>
        </w:rPr>
        <w:t>模块单元的出厂检验应包括下列内容：</w:t>
      </w:r>
    </w:p>
    <w:p>
      <w:pPr>
        <w:ind w:firstLine="440" w:firstLineChars="200"/>
        <w:rPr>
          <w:color w:val="auto"/>
          <w:highlight w:val="none"/>
        </w:rPr>
      </w:pPr>
      <w:r>
        <w:rPr>
          <w:rFonts w:hint="eastAsia"/>
          <w:b/>
          <w:color w:val="auto"/>
          <w:highlight w:val="none"/>
        </w:rPr>
        <w:t>1</w:t>
      </w:r>
      <w:r>
        <w:rPr>
          <w:color w:val="auto"/>
          <w:highlight w:val="none"/>
        </w:rPr>
        <w:t xml:space="preserve">  </w:t>
      </w:r>
      <w:r>
        <w:rPr>
          <w:rFonts w:hint="eastAsia"/>
          <w:color w:val="auto"/>
          <w:highlight w:val="none"/>
        </w:rPr>
        <w:t>模块单元的外观质量检验；</w:t>
      </w:r>
    </w:p>
    <w:p>
      <w:pPr>
        <w:ind w:firstLine="440" w:firstLineChars="200"/>
        <w:rPr>
          <w:color w:val="auto"/>
          <w:highlight w:val="none"/>
        </w:rPr>
      </w:pPr>
      <w:r>
        <w:rPr>
          <w:rFonts w:hint="eastAsia"/>
          <w:b/>
          <w:color w:val="auto"/>
          <w:highlight w:val="none"/>
        </w:rPr>
        <w:t>2</w:t>
      </w:r>
      <w:r>
        <w:rPr>
          <w:color w:val="auto"/>
          <w:highlight w:val="none"/>
        </w:rPr>
        <w:t xml:space="preserve">  </w:t>
      </w:r>
      <w:r>
        <w:rPr>
          <w:rFonts w:hint="eastAsia"/>
          <w:color w:val="auto"/>
          <w:highlight w:val="none"/>
        </w:rPr>
        <w:t>模块单元的淋水试验；</w:t>
      </w:r>
    </w:p>
    <w:p>
      <w:pPr>
        <w:ind w:firstLine="440" w:firstLineChars="200"/>
        <w:rPr>
          <w:color w:val="auto"/>
          <w:highlight w:val="none"/>
        </w:rPr>
      </w:pPr>
      <w:r>
        <w:rPr>
          <w:rFonts w:hint="eastAsia"/>
          <w:b/>
          <w:color w:val="auto"/>
          <w:highlight w:val="none"/>
        </w:rPr>
        <w:t>3</w:t>
      </w:r>
      <w:r>
        <w:rPr>
          <w:color w:val="auto"/>
          <w:highlight w:val="none"/>
        </w:rPr>
        <w:t xml:space="preserve">  </w:t>
      </w:r>
      <w:r>
        <w:rPr>
          <w:rFonts w:hint="eastAsia"/>
          <w:color w:val="auto"/>
          <w:highlight w:val="none"/>
        </w:rPr>
        <w:t>模块单元的使用功能检验；</w:t>
      </w:r>
    </w:p>
    <w:p>
      <w:pPr>
        <w:ind w:firstLine="440" w:firstLineChars="200"/>
        <w:rPr>
          <w:color w:val="auto"/>
          <w:highlight w:val="none"/>
        </w:rPr>
      </w:pPr>
      <w:r>
        <w:rPr>
          <w:rFonts w:hint="eastAsia"/>
          <w:b/>
          <w:color w:val="auto"/>
          <w:highlight w:val="none"/>
        </w:rPr>
        <w:t>4</w:t>
      </w:r>
      <w:r>
        <w:rPr>
          <w:color w:val="auto"/>
          <w:highlight w:val="none"/>
        </w:rPr>
        <w:t xml:space="preserve">  </w:t>
      </w:r>
      <w:r>
        <w:rPr>
          <w:rFonts w:hint="eastAsia"/>
          <w:color w:val="auto"/>
          <w:highlight w:val="none"/>
        </w:rPr>
        <w:t>模块单元的制造过程资料检验。</w:t>
      </w:r>
    </w:p>
    <w:p>
      <w:pPr>
        <w:numPr>
          <w:ilvl w:val="0"/>
          <w:numId w:val="27"/>
        </w:numPr>
        <w:tabs>
          <w:tab w:val="left" w:pos="0"/>
          <w:tab w:val="left" w:pos="141"/>
        </w:tabs>
        <w:rPr>
          <w:color w:val="auto"/>
          <w:highlight w:val="none"/>
        </w:rPr>
      </w:pPr>
      <w:r>
        <w:rPr>
          <w:rFonts w:hint="eastAsia"/>
          <w:color w:val="auto"/>
          <w:highlight w:val="none"/>
        </w:rPr>
        <w:t>所有模块单元必须经淋水、通电、通水等必要的功能测试合格，做好成品保护才能出厂，</w:t>
      </w:r>
      <w:r>
        <w:rPr>
          <w:rFonts w:hint="eastAsia"/>
          <w:color w:val="auto"/>
          <w:highlight w:val="none"/>
          <w:lang w:eastAsia="zh-CN"/>
        </w:rPr>
        <w:t>出厂</w:t>
      </w:r>
      <w:r>
        <w:rPr>
          <w:rFonts w:hint="eastAsia"/>
          <w:color w:val="auto"/>
          <w:highlight w:val="none"/>
        </w:rPr>
        <w:t>时应具备相关可追溯的质量合格证明文件。</w:t>
      </w:r>
    </w:p>
    <w:p>
      <w:pPr>
        <w:numPr>
          <w:ilvl w:val="0"/>
          <w:numId w:val="27"/>
        </w:numPr>
        <w:tabs>
          <w:tab w:val="left" w:pos="0"/>
          <w:tab w:val="left" w:pos="141"/>
        </w:tabs>
        <w:rPr>
          <w:color w:val="auto"/>
          <w:highlight w:val="none"/>
        </w:rPr>
      </w:pPr>
      <w:r>
        <w:rPr>
          <w:rFonts w:hint="eastAsia"/>
          <w:iCs/>
          <w:color w:val="auto"/>
          <w:highlight w:val="none"/>
        </w:rPr>
        <w:t>模块结构出厂前，应对构配件的内在质量、外观质量、尺寸精度进行验收和吊点部位预埋件的隐蔽验收，应形成验收记录，并出具出厂合格证、质量保证书和检验报告；混凝土模块结构出厂时强度应达到设计要求。</w:t>
      </w:r>
    </w:p>
    <w:p>
      <w:pPr>
        <w:numPr>
          <w:ilvl w:val="0"/>
          <w:numId w:val="27"/>
        </w:numPr>
        <w:rPr>
          <w:color w:val="auto"/>
          <w:highlight w:val="none"/>
        </w:rPr>
      </w:pPr>
      <w:r>
        <w:rPr>
          <w:rFonts w:hint="eastAsia"/>
          <w:color w:val="auto"/>
          <w:highlight w:val="none"/>
        </w:rPr>
        <w:t>模块单元制造时应采取措施避免出现外观质量缺陷。外观质量缺陷根据其影响结构性能、安装和使用功能的严重程度，可按现行国家标准《混凝土结构工程施工质量验收规范》GB 50204的有关规定执行，划分为严重缺陷和一般缺陷。</w:t>
      </w:r>
    </w:p>
    <w:p>
      <w:pPr>
        <w:numPr>
          <w:ilvl w:val="0"/>
          <w:numId w:val="27"/>
        </w:numPr>
        <w:rPr>
          <w:color w:val="auto"/>
          <w:highlight w:val="none"/>
        </w:rPr>
      </w:pPr>
      <w:r>
        <w:rPr>
          <w:rFonts w:hint="eastAsia"/>
          <w:color w:val="auto"/>
          <w:highlight w:val="none"/>
        </w:rPr>
        <w:t>模块单元出厂前应及时对其外观质量进行全数目测检查。模块单元外观质量不应有缺陷，对已经出现的严重缺陷应制定技术处理方案进行处理并重新检验，对出现的一般缺陷应进行修整并达到合格。</w:t>
      </w:r>
    </w:p>
    <w:p>
      <w:pPr>
        <w:numPr>
          <w:ilvl w:val="0"/>
          <w:numId w:val="27"/>
        </w:numPr>
        <w:rPr>
          <w:color w:val="auto"/>
          <w:highlight w:val="none"/>
        </w:rPr>
      </w:pPr>
      <w:r>
        <w:rPr>
          <w:rFonts w:hint="eastAsia"/>
          <w:color w:val="auto"/>
          <w:highlight w:val="none"/>
        </w:rPr>
        <w:t>模块单元的尺寸偏差和检验方法应符合表8.5.5的规定。</w:t>
      </w:r>
    </w:p>
    <w:p>
      <w:pPr>
        <w:ind w:firstLine="440" w:firstLineChars="200"/>
        <w:rPr>
          <w:color w:val="auto"/>
          <w:szCs w:val="24"/>
          <w:highlight w:val="none"/>
        </w:rPr>
      </w:pPr>
      <w:r>
        <w:rPr>
          <w:rFonts w:hint="eastAsia"/>
          <w:color w:val="auto"/>
          <w:szCs w:val="24"/>
          <w:highlight w:val="none"/>
        </w:rPr>
        <w:t>检查数量：同种类型的模块单元不超过</w:t>
      </w:r>
      <w:r>
        <w:rPr>
          <w:color w:val="auto"/>
          <w:szCs w:val="24"/>
          <w:highlight w:val="none"/>
        </w:rPr>
        <w:t>10</w:t>
      </w:r>
      <w:r>
        <w:rPr>
          <w:rFonts w:hint="eastAsia"/>
          <w:color w:val="auto"/>
          <w:szCs w:val="24"/>
          <w:highlight w:val="none"/>
        </w:rPr>
        <w:t>个为一批，每批检查1个。</w:t>
      </w:r>
    </w:p>
    <w:p>
      <w:pPr>
        <w:jc w:val="center"/>
        <w:rPr>
          <w:color w:val="auto"/>
          <w:highlight w:val="none"/>
        </w:rPr>
      </w:pPr>
      <w:r>
        <w:rPr>
          <w:color w:val="auto"/>
          <w:highlight w:val="none"/>
        </w:rPr>
        <w:object>
          <v:shape id="_x0000_i1025" o:spt="75" type="#_x0000_t75" style="height:133.6pt;width:249.8pt;" o:ole="t" filled="f" o:preferrelative="t" stroked="f" coordsize="21600,21600">
            <v:path/>
            <v:fill on="f" focussize="0,0"/>
            <v:stroke on="f" joinstyle="miter"/>
            <v:imagedata r:id="rId37" o:title=""/>
            <o:lock v:ext="edit" aspectratio="t"/>
            <w10:wrap type="none"/>
            <w10:anchorlock/>
          </v:shape>
          <o:OLEObject Type="Embed" ProgID="Visio.Drawing.15" ShapeID="_x0000_i1025" DrawAspect="Content" ObjectID="_1468075725">
            <o:LockedField>false</o:LockedField>
          </o:OLEObject>
        </w:object>
      </w:r>
    </w:p>
    <w:p>
      <w:pPr>
        <w:pStyle w:val="54"/>
        <w:rPr>
          <w:rFonts w:eastAsia="仿宋"/>
          <w:b/>
          <w:bCs/>
          <w:color w:val="auto"/>
          <w:sz w:val="21"/>
          <w:highlight w:val="none"/>
        </w:rPr>
      </w:pPr>
      <w:r>
        <w:rPr>
          <w:rFonts w:eastAsia="仿宋"/>
          <w:b/>
          <w:bCs/>
          <w:color w:val="auto"/>
          <w:sz w:val="21"/>
          <w:highlight w:val="none"/>
        </w:rPr>
        <w:t>图8</w:t>
      </w:r>
      <w:r>
        <w:rPr>
          <w:rFonts w:hint="eastAsia" w:ascii="仿宋" w:hAnsi="仿宋" w:eastAsia="仿宋" w:cs="仿宋"/>
          <w:b/>
          <w:bCs/>
          <w:color w:val="auto"/>
          <w:sz w:val="21"/>
          <w:highlight w:val="none"/>
        </w:rPr>
        <w:t>.</w:t>
      </w:r>
      <w:r>
        <w:rPr>
          <w:rFonts w:eastAsia="仿宋"/>
          <w:b/>
          <w:bCs/>
          <w:color w:val="auto"/>
          <w:sz w:val="21"/>
          <w:highlight w:val="none"/>
        </w:rPr>
        <w:t>5</w:t>
      </w:r>
      <w:r>
        <w:rPr>
          <w:rFonts w:hint="eastAsia" w:ascii="仿宋" w:hAnsi="仿宋" w:eastAsia="仿宋" w:cs="仿宋"/>
          <w:b/>
          <w:bCs/>
          <w:color w:val="auto"/>
          <w:sz w:val="21"/>
          <w:highlight w:val="none"/>
        </w:rPr>
        <w:t>.</w:t>
      </w:r>
      <w:r>
        <w:rPr>
          <w:rFonts w:hint="eastAsia" w:eastAsia="仿宋"/>
          <w:b/>
          <w:bCs/>
          <w:color w:val="auto"/>
          <w:sz w:val="21"/>
          <w:highlight w:val="none"/>
        </w:rPr>
        <w:t xml:space="preserve">5  </w:t>
      </w:r>
      <w:r>
        <w:rPr>
          <w:rFonts w:eastAsia="仿宋"/>
          <w:b/>
          <w:bCs/>
          <w:color w:val="auto"/>
          <w:sz w:val="21"/>
          <w:highlight w:val="none"/>
        </w:rPr>
        <w:t>模块单元示意图</w:t>
      </w:r>
    </w:p>
    <w:p>
      <w:pPr>
        <w:pStyle w:val="54"/>
        <w:rPr>
          <w:rFonts w:eastAsia="仿宋"/>
          <w:b/>
          <w:bCs/>
          <w:color w:val="auto"/>
          <w:sz w:val="21"/>
          <w:highlight w:val="none"/>
        </w:rPr>
      </w:pPr>
      <w:r>
        <w:rPr>
          <w:rFonts w:eastAsia="仿宋"/>
          <w:b/>
          <w:bCs/>
          <w:color w:val="auto"/>
          <w:sz w:val="21"/>
          <w:highlight w:val="none"/>
        </w:rPr>
        <w:t>表8</w:t>
      </w:r>
      <w:r>
        <w:rPr>
          <w:rFonts w:hint="eastAsia" w:ascii="仿宋" w:hAnsi="仿宋" w:eastAsia="仿宋" w:cs="仿宋"/>
          <w:b/>
          <w:bCs/>
          <w:color w:val="auto"/>
          <w:sz w:val="21"/>
          <w:highlight w:val="none"/>
        </w:rPr>
        <w:t>.</w:t>
      </w:r>
      <w:r>
        <w:rPr>
          <w:rFonts w:eastAsia="仿宋"/>
          <w:b/>
          <w:bCs/>
          <w:color w:val="auto"/>
          <w:sz w:val="21"/>
          <w:highlight w:val="none"/>
        </w:rPr>
        <w:t>5</w:t>
      </w:r>
      <w:r>
        <w:rPr>
          <w:rFonts w:hint="eastAsia" w:ascii="仿宋" w:hAnsi="仿宋" w:eastAsia="仿宋" w:cs="仿宋"/>
          <w:b/>
          <w:bCs/>
          <w:color w:val="auto"/>
          <w:sz w:val="21"/>
          <w:highlight w:val="none"/>
        </w:rPr>
        <w:t>.</w:t>
      </w:r>
      <w:r>
        <w:rPr>
          <w:rFonts w:hint="eastAsia" w:eastAsia="仿宋"/>
          <w:b/>
          <w:bCs/>
          <w:color w:val="auto"/>
          <w:sz w:val="21"/>
          <w:highlight w:val="none"/>
        </w:rPr>
        <w:t>5</w:t>
      </w:r>
      <w:r>
        <w:rPr>
          <w:rFonts w:eastAsia="仿宋"/>
          <w:b/>
          <w:bCs/>
          <w:color w:val="auto"/>
          <w:sz w:val="21"/>
          <w:highlight w:val="none"/>
        </w:rPr>
        <w:t xml:space="preserve">  模块单元尺寸允许偏差及检验方法</w:t>
      </w:r>
    </w:p>
    <w:tbl>
      <w:tblPr>
        <w:tblStyle w:val="24"/>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54"/>
        <w:gridCol w:w="3177"/>
        <w:gridCol w:w="1817"/>
        <w:gridCol w:w="1400"/>
        <w:gridCol w:w="16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blHeader/>
          <w:jc w:val="center"/>
        </w:trPr>
        <w:tc>
          <w:tcPr>
            <w:tcW w:w="6048" w:type="dxa"/>
            <w:gridSpan w:val="3"/>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项  目</w:t>
            </w:r>
          </w:p>
        </w:tc>
        <w:tc>
          <w:tcPr>
            <w:tcW w:w="1400"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允许偏差(mm)</w:t>
            </w:r>
          </w:p>
        </w:tc>
        <w:tc>
          <w:tcPr>
            <w:tcW w:w="1624"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检验方法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054" w:type="dxa"/>
            <w:vMerge w:val="restart"/>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长度</w:t>
            </w:r>
          </w:p>
        </w:tc>
        <w:tc>
          <w:tcPr>
            <w:tcW w:w="3177" w:type="dxa"/>
            <w:vMerge w:val="restart"/>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AB、A'B'、CD、C'D'</w:t>
            </w:r>
          </w:p>
        </w:tc>
        <w:tc>
          <w:tcPr>
            <w:tcW w:w="1817"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≤6m</w:t>
            </w:r>
          </w:p>
        </w:tc>
        <w:tc>
          <w:tcPr>
            <w:tcW w:w="1400"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-5，+2</w:t>
            </w:r>
          </w:p>
        </w:tc>
        <w:tc>
          <w:tcPr>
            <w:tcW w:w="1624" w:type="dxa"/>
            <w:vMerge w:val="restart"/>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尺量检查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054" w:type="dxa"/>
            <w:vMerge w:val="continue"/>
            <w:vAlign w:val="center"/>
          </w:tcPr>
          <w:p>
            <w:pPr>
              <w:autoSpaceDE w:val="0"/>
              <w:autoSpaceDN w:val="0"/>
              <w:adjustRightInd w:val="0"/>
              <w:jc w:val="center"/>
              <w:rPr>
                <w:rFonts w:eastAsia="仿宋"/>
                <w:color w:val="auto"/>
                <w:kern w:val="0"/>
                <w:szCs w:val="21"/>
                <w:highlight w:val="none"/>
              </w:rPr>
            </w:pPr>
          </w:p>
        </w:tc>
        <w:tc>
          <w:tcPr>
            <w:tcW w:w="3177" w:type="dxa"/>
            <w:vMerge w:val="continue"/>
            <w:vAlign w:val="center"/>
          </w:tcPr>
          <w:p>
            <w:pPr>
              <w:autoSpaceDE w:val="0"/>
              <w:autoSpaceDN w:val="0"/>
              <w:adjustRightInd w:val="0"/>
              <w:jc w:val="center"/>
              <w:rPr>
                <w:rFonts w:eastAsia="仿宋"/>
                <w:color w:val="auto"/>
                <w:kern w:val="0"/>
                <w:szCs w:val="21"/>
                <w:highlight w:val="none"/>
              </w:rPr>
            </w:pPr>
          </w:p>
        </w:tc>
        <w:tc>
          <w:tcPr>
            <w:tcW w:w="1817"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&gt;6m</w:t>
            </w:r>
          </w:p>
        </w:tc>
        <w:tc>
          <w:tcPr>
            <w:tcW w:w="1400"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-10，+2</w:t>
            </w:r>
          </w:p>
        </w:tc>
        <w:tc>
          <w:tcPr>
            <w:tcW w:w="1624" w:type="dxa"/>
            <w:vMerge w:val="continue"/>
            <w:vAlign w:val="center"/>
          </w:tcPr>
          <w:p>
            <w:pPr>
              <w:autoSpaceDE w:val="0"/>
              <w:autoSpaceDN w:val="0"/>
              <w:adjustRightInd w:val="0"/>
              <w:jc w:val="center"/>
              <w:rPr>
                <w:rFonts w:eastAsia="仿宋"/>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054"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宽度</w:t>
            </w:r>
          </w:p>
        </w:tc>
        <w:tc>
          <w:tcPr>
            <w:tcW w:w="4994" w:type="dxa"/>
            <w:gridSpan w:val="2"/>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AC、A'C'、BD、B'D'</w:t>
            </w:r>
          </w:p>
        </w:tc>
        <w:tc>
          <w:tcPr>
            <w:tcW w:w="1400"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-5，+2</w:t>
            </w:r>
          </w:p>
        </w:tc>
        <w:tc>
          <w:tcPr>
            <w:tcW w:w="1624" w:type="dxa"/>
            <w:vMerge w:val="restart"/>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钢尺量一端及中部，取其中偏差绝对值较大处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054"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高度</w:t>
            </w:r>
          </w:p>
        </w:tc>
        <w:tc>
          <w:tcPr>
            <w:tcW w:w="4994" w:type="dxa"/>
            <w:gridSpan w:val="2"/>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AA'、BB'、CC'、DD'</w:t>
            </w:r>
          </w:p>
        </w:tc>
        <w:tc>
          <w:tcPr>
            <w:tcW w:w="1400"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-5，+2</w:t>
            </w:r>
          </w:p>
        </w:tc>
        <w:tc>
          <w:tcPr>
            <w:tcW w:w="1624" w:type="dxa"/>
            <w:vMerge w:val="continue"/>
            <w:vAlign w:val="center"/>
          </w:tcPr>
          <w:p>
            <w:pPr>
              <w:autoSpaceDE w:val="0"/>
              <w:autoSpaceDN w:val="0"/>
              <w:adjustRightInd w:val="0"/>
              <w:jc w:val="center"/>
              <w:rPr>
                <w:rFonts w:eastAsia="仿宋"/>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54" w:type="dxa"/>
            <w:vMerge w:val="restart"/>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对角线差</w:t>
            </w:r>
          </w:p>
        </w:tc>
        <w:tc>
          <w:tcPr>
            <w:tcW w:w="3177" w:type="dxa"/>
            <w:vMerge w:val="restart"/>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│AD-BC│、│A'D'-B'C'│</w:t>
            </w:r>
          </w:p>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│AB'-A'B│、│CD'-C'D│</w:t>
            </w:r>
          </w:p>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│AC'-A'C│、│BD'-B'D│</w:t>
            </w:r>
          </w:p>
        </w:tc>
        <w:tc>
          <w:tcPr>
            <w:tcW w:w="1817" w:type="dxa"/>
            <w:vMerge w:val="restart"/>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对角线长度</w:t>
            </w:r>
          </w:p>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≤6m</w:t>
            </w:r>
          </w:p>
        </w:tc>
        <w:tc>
          <w:tcPr>
            <w:tcW w:w="1400" w:type="dxa"/>
            <w:vMerge w:val="restart"/>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8</w:t>
            </w:r>
          </w:p>
        </w:tc>
        <w:tc>
          <w:tcPr>
            <w:tcW w:w="1624" w:type="dxa"/>
            <w:vMerge w:val="restart"/>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钢尺量两个对角线的长度，取其绝对值的差值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54" w:type="dxa"/>
            <w:vMerge w:val="continue"/>
            <w:vAlign w:val="center"/>
          </w:tcPr>
          <w:p>
            <w:pPr>
              <w:autoSpaceDE w:val="0"/>
              <w:autoSpaceDN w:val="0"/>
              <w:adjustRightInd w:val="0"/>
              <w:jc w:val="center"/>
              <w:rPr>
                <w:rFonts w:eastAsia="仿宋"/>
                <w:color w:val="auto"/>
                <w:kern w:val="0"/>
                <w:szCs w:val="21"/>
                <w:highlight w:val="none"/>
              </w:rPr>
            </w:pPr>
          </w:p>
        </w:tc>
        <w:tc>
          <w:tcPr>
            <w:tcW w:w="3177" w:type="dxa"/>
            <w:vMerge w:val="continue"/>
            <w:vAlign w:val="center"/>
          </w:tcPr>
          <w:p>
            <w:pPr>
              <w:autoSpaceDE w:val="0"/>
              <w:autoSpaceDN w:val="0"/>
              <w:adjustRightInd w:val="0"/>
              <w:jc w:val="center"/>
              <w:rPr>
                <w:rFonts w:eastAsia="仿宋"/>
                <w:color w:val="auto"/>
                <w:kern w:val="0"/>
                <w:szCs w:val="21"/>
                <w:highlight w:val="none"/>
              </w:rPr>
            </w:pPr>
          </w:p>
        </w:tc>
        <w:tc>
          <w:tcPr>
            <w:tcW w:w="1817" w:type="dxa"/>
            <w:vMerge w:val="continue"/>
            <w:vAlign w:val="center"/>
          </w:tcPr>
          <w:p>
            <w:pPr>
              <w:autoSpaceDE w:val="0"/>
              <w:autoSpaceDN w:val="0"/>
              <w:adjustRightInd w:val="0"/>
              <w:jc w:val="center"/>
              <w:rPr>
                <w:rFonts w:eastAsia="仿宋"/>
                <w:color w:val="auto"/>
                <w:kern w:val="0"/>
                <w:szCs w:val="21"/>
                <w:highlight w:val="none"/>
              </w:rPr>
            </w:pPr>
          </w:p>
        </w:tc>
        <w:tc>
          <w:tcPr>
            <w:tcW w:w="1400" w:type="dxa"/>
            <w:vMerge w:val="continue"/>
            <w:vAlign w:val="center"/>
          </w:tcPr>
          <w:p>
            <w:pPr>
              <w:autoSpaceDE w:val="0"/>
              <w:autoSpaceDN w:val="0"/>
              <w:adjustRightInd w:val="0"/>
              <w:jc w:val="center"/>
              <w:rPr>
                <w:rFonts w:eastAsia="仿宋"/>
                <w:color w:val="auto"/>
                <w:kern w:val="0"/>
                <w:szCs w:val="21"/>
                <w:highlight w:val="none"/>
              </w:rPr>
            </w:pPr>
          </w:p>
        </w:tc>
        <w:tc>
          <w:tcPr>
            <w:tcW w:w="1624" w:type="dxa"/>
            <w:vMerge w:val="continue"/>
            <w:vAlign w:val="center"/>
          </w:tcPr>
          <w:p>
            <w:pPr>
              <w:autoSpaceDE w:val="0"/>
              <w:autoSpaceDN w:val="0"/>
              <w:adjustRightInd w:val="0"/>
              <w:jc w:val="center"/>
              <w:rPr>
                <w:rFonts w:eastAsia="仿宋"/>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54" w:type="dxa"/>
            <w:vMerge w:val="continue"/>
            <w:vAlign w:val="center"/>
          </w:tcPr>
          <w:p>
            <w:pPr>
              <w:autoSpaceDE w:val="0"/>
              <w:autoSpaceDN w:val="0"/>
              <w:adjustRightInd w:val="0"/>
              <w:jc w:val="center"/>
              <w:rPr>
                <w:rFonts w:eastAsia="仿宋"/>
                <w:color w:val="auto"/>
                <w:kern w:val="0"/>
                <w:szCs w:val="21"/>
                <w:highlight w:val="none"/>
              </w:rPr>
            </w:pPr>
          </w:p>
        </w:tc>
        <w:tc>
          <w:tcPr>
            <w:tcW w:w="3177" w:type="dxa"/>
            <w:vMerge w:val="continue"/>
            <w:vAlign w:val="center"/>
          </w:tcPr>
          <w:p>
            <w:pPr>
              <w:autoSpaceDE w:val="0"/>
              <w:autoSpaceDN w:val="0"/>
              <w:adjustRightInd w:val="0"/>
              <w:jc w:val="center"/>
              <w:rPr>
                <w:rFonts w:eastAsia="仿宋"/>
                <w:color w:val="auto"/>
                <w:kern w:val="0"/>
                <w:szCs w:val="21"/>
                <w:highlight w:val="none"/>
              </w:rPr>
            </w:pPr>
          </w:p>
        </w:tc>
        <w:tc>
          <w:tcPr>
            <w:tcW w:w="1817"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对角线长度</w:t>
            </w:r>
          </w:p>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&gt;6m</w:t>
            </w:r>
          </w:p>
        </w:tc>
        <w:tc>
          <w:tcPr>
            <w:tcW w:w="1400"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12</w:t>
            </w:r>
          </w:p>
        </w:tc>
        <w:tc>
          <w:tcPr>
            <w:tcW w:w="1624" w:type="dxa"/>
            <w:vMerge w:val="continue"/>
            <w:vAlign w:val="center"/>
          </w:tcPr>
          <w:p>
            <w:pPr>
              <w:autoSpaceDE w:val="0"/>
              <w:autoSpaceDN w:val="0"/>
              <w:adjustRightInd w:val="0"/>
              <w:jc w:val="center"/>
              <w:rPr>
                <w:rFonts w:eastAsia="仿宋"/>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054" w:type="dxa"/>
            <w:vMerge w:val="restart"/>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表面平整度</w:t>
            </w:r>
          </w:p>
        </w:tc>
        <w:tc>
          <w:tcPr>
            <w:tcW w:w="4994" w:type="dxa"/>
            <w:gridSpan w:val="2"/>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内表面</w:t>
            </w:r>
          </w:p>
        </w:tc>
        <w:tc>
          <w:tcPr>
            <w:tcW w:w="1400"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4</w:t>
            </w:r>
          </w:p>
        </w:tc>
        <w:tc>
          <w:tcPr>
            <w:tcW w:w="1624" w:type="dxa"/>
            <w:vMerge w:val="restart"/>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2m靠尺和塞尺检查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054" w:type="dxa"/>
            <w:vMerge w:val="continue"/>
            <w:vAlign w:val="center"/>
          </w:tcPr>
          <w:p>
            <w:pPr>
              <w:autoSpaceDE w:val="0"/>
              <w:autoSpaceDN w:val="0"/>
              <w:adjustRightInd w:val="0"/>
              <w:jc w:val="center"/>
              <w:rPr>
                <w:rFonts w:eastAsia="仿宋"/>
                <w:color w:val="auto"/>
                <w:kern w:val="0"/>
                <w:szCs w:val="21"/>
                <w:highlight w:val="none"/>
              </w:rPr>
            </w:pPr>
          </w:p>
        </w:tc>
        <w:tc>
          <w:tcPr>
            <w:tcW w:w="4994" w:type="dxa"/>
            <w:gridSpan w:val="2"/>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外表面</w:t>
            </w:r>
          </w:p>
        </w:tc>
        <w:tc>
          <w:tcPr>
            <w:tcW w:w="1400"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3</w:t>
            </w:r>
          </w:p>
        </w:tc>
        <w:tc>
          <w:tcPr>
            <w:tcW w:w="1624" w:type="dxa"/>
            <w:vMerge w:val="continue"/>
            <w:vAlign w:val="center"/>
          </w:tcPr>
          <w:p>
            <w:pPr>
              <w:autoSpaceDE w:val="0"/>
              <w:autoSpaceDN w:val="0"/>
              <w:adjustRightInd w:val="0"/>
              <w:jc w:val="center"/>
              <w:rPr>
                <w:rFonts w:eastAsia="仿宋"/>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054" w:type="dxa"/>
            <w:vMerge w:val="restart"/>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垂直度</w:t>
            </w:r>
          </w:p>
        </w:tc>
        <w:tc>
          <w:tcPr>
            <w:tcW w:w="3177" w:type="dxa"/>
            <w:vMerge w:val="restart"/>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柱、墙板</w:t>
            </w:r>
          </w:p>
        </w:tc>
        <w:tc>
          <w:tcPr>
            <w:tcW w:w="1817"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≤3m</w:t>
            </w:r>
          </w:p>
        </w:tc>
        <w:tc>
          <w:tcPr>
            <w:tcW w:w="1400"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4</w:t>
            </w:r>
          </w:p>
        </w:tc>
        <w:tc>
          <w:tcPr>
            <w:tcW w:w="1624" w:type="dxa"/>
            <w:vMerge w:val="restart"/>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2m垂直检测尺或吊线、钢尺量测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054" w:type="dxa"/>
            <w:vMerge w:val="continue"/>
            <w:vAlign w:val="center"/>
          </w:tcPr>
          <w:p>
            <w:pPr>
              <w:autoSpaceDE w:val="0"/>
              <w:autoSpaceDN w:val="0"/>
              <w:adjustRightInd w:val="0"/>
              <w:jc w:val="center"/>
              <w:rPr>
                <w:rFonts w:eastAsia="仿宋"/>
                <w:color w:val="auto"/>
                <w:kern w:val="0"/>
                <w:szCs w:val="21"/>
                <w:highlight w:val="none"/>
              </w:rPr>
            </w:pPr>
          </w:p>
        </w:tc>
        <w:tc>
          <w:tcPr>
            <w:tcW w:w="3177" w:type="dxa"/>
            <w:vMerge w:val="continue"/>
            <w:vAlign w:val="center"/>
          </w:tcPr>
          <w:p>
            <w:pPr>
              <w:autoSpaceDE w:val="0"/>
              <w:autoSpaceDN w:val="0"/>
              <w:adjustRightInd w:val="0"/>
              <w:jc w:val="center"/>
              <w:rPr>
                <w:rFonts w:eastAsia="仿宋"/>
                <w:color w:val="auto"/>
                <w:kern w:val="0"/>
                <w:szCs w:val="21"/>
                <w:highlight w:val="none"/>
              </w:rPr>
            </w:pPr>
          </w:p>
        </w:tc>
        <w:tc>
          <w:tcPr>
            <w:tcW w:w="1817"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&gt;3m</w:t>
            </w:r>
          </w:p>
        </w:tc>
        <w:tc>
          <w:tcPr>
            <w:tcW w:w="1400"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5</w:t>
            </w:r>
          </w:p>
        </w:tc>
        <w:tc>
          <w:tcPr>
            <w:tcW w:w="1624" w:type="dxa"/>
            <w:vMerge w:val="continue"/>
            <w:vAlign w:val="center"/>
          </w:tcPr>
          <w:p>
            <w:pPr>
              <w:autoSpaceDE w:val="0"/>
              <w:autoSpaceDN w:val="0"/>
              <w:adjustRightInd w:val="0"/>
              <w:jc w:val="center"/>
              <w:rPr>
                <w:rFonts w:eastAsia="仿宋"/>
                <w:color w:val="auto"/>
                <w:kern w:val="0"/>
                <w:szCs w:val="21"/>
                <w:highlight w:val="none"/>
              </w:rPr>
            </w:pPr>
          </w:p>
        </w:tc>
      </w:tr>
    </w:tbl>
    <w:p>
      <w:pPr>
        <w:pStyle w:val="56"/>
        <w:ind w:firstLine="380" w:firstLineChars="200"/>
        <w:rPr>
          <w:rFonts w:hint="eastAsia" w:ascii="仿宋" w:hAnsi="仿宋" w:eastAsia="仿宋" w:cs="仿宋"/>
          <w:iCs/>
          <w:color w:val="auto"/>
          <w:sz w:val="18"/>
          <w:szCs w:val="28"/>
          <w:highlight w:val="none"/>
        </w:rPr>
      </w:pPr>
      <w:r>
        <w:rPr>
          <w:rFonts w:hint="eastAsia" w:ascii="仿宋" w:hAnsi="仿宋" w:eastAsia="仿宋" w:cs="仿宋"/>
          <w:color w:val="auto"/>
          <w:sz w:val="18"/>
          <w:szCs w:val="28"/>
          <w:highlight w:val="none"/>
        </w:rPr>
        <w:t>注：</w:t>
      </w:r>
      <w:r>
        <w:rPr>
          <w:rFonts w:hint="eastAsia" w:ascii="仿宋" w:hAnsi="仿宋" w:eastAsia="仿宋" w:cs="仿宋"/>
          <w:iCs/>
          <w:color w:val="auto"/>
          <w:sz w:val="18"/>
          <w:szCs w:val="28"/>
          <w:highlight w:val="none"/>
        </w:rPr>
        <w:t>表格中所检查的模块单元尺寸为模块单元装修前的尺寸。</w:t>
      </w:r>
    </w:p>
    <w:p>
      <w:pPr>
        <w:numPr>
          <w:ilvl w:val="0"/>
          <w:numId w:val="27"/>
        </w:numPr>
        <w:rPr>
          <w:color w:val="auto"/>
          <w:highlight w:val="none"/>
        </w:rPr>
      </w:pPr>
      <w:r>
        <w:rPr>
          <w:rFonts w:hint="eastAsia"/>
          <w:color w:val="auto"/>
          <w:highlight w:val="none"/>
        </w:rPr>
        <w:t>模块单元的对拉孔、设备孔、门窗口、预埋件、预留插筋、键槽的位置和检验方法应符合表8.5.6的规定。</w:t>
      </w:r>
    </w:p>
    <w:p>
      <w:pPr>
        <w:ind w:firstLine="440" w:firstLineChars="200"/>
        <w:rPr>
          <w:color w:val="auto"/>
          <w:szCs w:val="24"/>
          <w:highlight w:val="none"/>
        </w:rPr>
      </w:pPr>
      <w:r>
        <w:rPr>
          <w:rFonts w:hint="eastAsia"/>
          <w:color w:val="auto"/>
          <w:szCs w:val="24"/>
          <w:highlight w:val="none"/>
        </w:rPr>
        <w:t>检查数量：全数检查</w:t>
      </w:r>
    </w:p>
    <w:p>
      <w:pPr>
        <w:pStyle w:val="54"/>
        <w:rPr>
          <w:rFonts w:eastAsia="仿宋"/>
          <w:b/>
          <w:bCs/>
          <w:color w:val="auto"/>
          <w:sz w:val="21"/>
          <w:highlight w:val="none"/>
        </w:rPr>
      </w:pPr>
      <w:r>
        <w:rPr>
          <w:rFonts w:eastAsia="仿宋"/>
          <w:b/>
          <w:bCs/>
          <w:color w:val="auto"/>
          <w:sz w:val="21"/>
          <w:highlight w:val="none"/>
        </w:rPr>
        <w:t>表8</w:t>
      </w:r>
      <w:r>
        <w:rPr>
          <w:rFonts w:hint="eastAsia" w:ascii="仿宋" w:hAnsi="仿宋" w:eastAsia="仿宋" w:cs="仿宋"/>
          <w:b/>
          <w:bCs/>
          <w:color w:val="auto"/>
          <w:sz w:val="21"/>
          <w:highlight w:val="none"/>
        </w:rPr>
        <w:t>.</w:t>
      </w:r>
      <w:r>
        <w:rPr>
          <w:rFonts w:eastAsia="仿宋"/>
          <w:b/>
          <w:bCs/>
          <w:color w:val="auto"/>
          <w:sz w:val="21"/>
          <w:highlight w:val="none"/>
        </w:rPr>
        <w:t>5</w:t>
      </w:r>
      <w:r>
        <w:rPr>
          <w:rFonts w:hint="eastAsia" w:ascii="仿宋" w:hAnsi="仿宋" w:eastAsia="仿宋" w:cs="仿宋"/>
          <w:b/>
          <w:bCs/>
          <w:color w:val="auto"/>
          <w:sz w:val="21"/>
          <w:highlight w:val="none"/>
        </w:rPr>
        <w:t>.</w:t>
      </w:r>
      <w:r>
        <w:rPr>
          <w:rFonts w:hint="eastAsia" w:eastAsia="仿宋"/>
          <w:b/>
          <w:bCs/>
          <w:color w:val="auto"/>
          <w:sz w:val="21"/>
          <w:highlight w:val="none"/>
        </w:rPr>
        <w:t>6</w:t>
      </w:r>
      <w:r>
        <w:rPr>
          <w:rFonts w:eastAsia="仿宋"/>
          <w:b/>
          <w:bCs/>
          <w:color w:val="auto"/>
          <w:sz w:val="21"/>
          <w:highlight w:val="none"/>
        </w:rPr>
        <w:t xml:space="preserve">  模块单元尺寸允许偏差及检验方法</w:t>
      </w:r>
    </w:p>
    <w:tbl>
      <w:tblPr>
        <w:tblStyle w:val="24"/>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55"/>
        <w:gridCol w:w="4993"/>
        <w:gridCol w:w="1400"/>
        <w:gridCol w:w="16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048" w:type="dxa"/>
            <w:gridSpan w:val="2"/>
            <w:tcBorders>
              <w:top w:val="single" w:color="auto" w:sz="12" w:space="0"/>
              <w:left w:val="single" w:color="auto" w:sz="12" w:space="0"/>
              <w:bottom w:val="single" w:color="auto" w:sz="4" w:space="0"/>
              <w:right w:val="single" w:color="auto" w:sz="4" w:space="0"/>
            </w:tcBorders>
            <w:vAlign w:val="center"/>
          </w:tcPr>
          <w:p>
            <w:pPr>
              <w:pStyle w:val="56"/>
              <w:jc w:val="center"/>
              <w:rPr>
                <w:rFonts w:eastAsia="仿宋"/>
                <w:color w:val="auto"/>
                <w:kern w:val="0"/>
                <w:sz w:val="21"/>
                <w:szCs w:val="21"/>
                <w:highlight w:val="none"/>
              </w:rPr>
            </w:pPr>
            <w:r>
              <w:rPr>
                <w:rFonts w:eastAsia="仿宋"/>
                <w:color w:val="auto"/>
                <w:kern w:val="0"/>
                <w:sz w:val="21"/>
                <w:szCs w:val="21"/>
                <w:highlight w:val="none"/>
              </w:rPr>
              <w:t>项  目</w:t>
            </w:r>
          </w:p>
        </w:tc>
        <w:tc>
          <w:tcPr>
            <w:tcW w:w="1400" w:type="dxa"/>
            <w:tcBorders>
              <w:top w:val="single" w:color="auto" w:sz="12" w:space="0"/>
              <w:left w:val="single" w:color="auto" w:sz="4" w:space="0"/>
              <w:bottom w:val="single" w:color="auto" w:sz="4" w:space="0"/>
              <w:right w:val="single" w:color="auto" w:sz="4" w:space="0"/>
            </w:tcBorders>
            <w:vAlign w:val="center"/>
          </w:tcPr>
          <w:p>
            <w:pPr>
              <w:pStyle w:val="56"/>
              <w:adjustRightInd w:val="0"/>
              <w:snapToGrid w:val="0"/>
              <w:jc w:val="center"/>
              <w:rPr>
                <w:rFonts w:eastAsia="仿宋"/>
                <w:color w:val="auto"/>
                <w:kern w:val="0"/>
                <w:sz w:val="21"/>
                <w:szCs w:val="21"/>
                <w:highlight w:val="none"/>
              </w:rPr>
            </w:pPr>
            <w:r>
              <w:rPr>
                <w:rFonts w:eastAsia="仿宋"/>
                <w:color w:val="auto"/>
                <w:kern w:val="0"/>
                <w:sz w:val="21"/>
                <w:szCs w:val="21"/>
                <w:highlight w:val="none"/>
              </w:rPr>
              <w:t>允许偏差(mm)</w:t>
            </w:r>
          </w:p>
        </w:tc>
        <w:tc>
          <w:tcPr>
            <w:tcW w:w="1624" w:type="dxa"/>
            <w:tcBorders>
              <w:top w:val="single" w:color="auto" w:sz="12" w:space="0"/>
              <w:left w:val="single" w:color="auto" w:sz="4" w:space="0"/>
              <w:bottom w:val="single" w:color="auto" w:sz="4" w:space="0"/>
              <w:right w:val="single" w:color="auto" w:sz="12" w:space="0"/>
            </w:tcBorders>
            <w:vAlign w:val="center"/>
          </w:tcPr>
          <w:p>
            <w:pPr>
              <w:pStyle w:val="56"/>
              <w:jc w:val="center"/>
              <w:rPr>
                <w:rFonts w:eastAsia="仿宋"/>
                <w:color w:val="auto"/>
                <w:kern w:val="0"/>
                <w:sz w:val="21"/>
                <w:szCs w:val="21"/>
                <w:highlight w:val="none"/>
              </w:rPr>
            </w:pPr>
            <w:r>
              <w:rPr>
                <w:rFonts w:eastAsia="仿宋"/>
                <w:color w:val="auto"/>
                <w:kern w:val="0"/>
                <w:sz w:val="21"/>
                <w:szCs w:val="21"/>
                <w:highlight w:val="none"/>
              </w:rPr>
              <w:t>检验方法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055" w:type="dxa"/>
            <w:vMerge w:val="restart"/>
            <w:vAlign w:val="center"/>
          </w:tcPr>
          <w:p>
            <w:pPr>
              <w:adjustRightInd w:val="0"/>
              <w:jc w:val="center"/>
              <w:rPr>
                <w:rFonts w:eastAsia="仿宋"/>
                <w:color w:val="auto"/>
                <w:kern w:val="0"/>
                <w:szCs w:val="21"/>
                <w:highlight w:val="none"/>
              </w:rPr>
            </w:pPr>
            <w:r>
              <w:rPr>
                <w:rFonts w:eastAsia="仿宋"/>
                <w:color w:val="auto"/>
                <w:kern w:val="0"/>
                <w:szCs w:val="21"/>
                <w:highlight w:val="none"/>
              </w:rPr>
              <w:t>对拉孔</w:t>
            </w:r>
          </w:p>
        </w:tc>
        <w:tc>
          <w:tcPr>
            <w:tcW w:w="4993" w:type="dxa"/>
            <w:vAlign w:val="center"/>
          </w:tcPr>
          <w:p>
            <w:pPr>
              <w:adjustRightInd w:val="0"/>
              <w:jc w:val="center"/>
              <w:rPr>
                <w:rFonts w:eastAsia="仿宋"/>
                <w:color w:val="auto"/>
                <w:kern w:val="0"/>
                <w:szCs w:val="21"/>
                <w:highlight w:val="none"/>
              </w:rPr>
            </w:pPr>
            <w:r>
              <w:rPr>
                <w:rFonts w:eastAsia="仿宋"/>
                <w:color w:val="auto"/>
                <w:kern w:val="0"/>
                <w:szCs w:val="21"/>
                <w:highlight w:val="none"/>
              </w:rPr>
              <w:t>中心线位置</w:t>
            </w:r>
          </w:p>
        </w:tc>
        <w:tc>
          <w:tcPr>
            <w:tcW w:w="1400" w:type="dxa"/>
            <w:vAlign w:val="center"/>
          </w:tcPr>
          <w:p>
            <w:pPr>
              <w:adjustRightInd w:val="0"/>
              <w:jc w:val="center"/>
              <w:rPr>
                <w:rFonts w:eastAsia="仿宋"/>
                <w:color w:val="auto"/>
                <w:kern w:val="0"/>
                <w:szCs w:val="21"/>
                <w:highlight w:val="none"/>
              </w:rPr>
            </w:pPr>
            <w:r>
              <w:rPr>
                <w:rFonts w:eastAsia="仿宋"/>
                <w:color w:val="auto"/>
                <w:kern w:val="0"/>
                <w:szCs w:val="21"/>
                <w:highlight w:val="none"/>
              </w:rPr>
              <w:t>3</w:t>
            </w:r>
          </w:p>
        </w:tc>
        <w:tc>
          <w:tcPr>
            <w:tcW w:w="1624" w:type="dxa"/>
            <w:vMerge w:val="restart"/>
            <w:vAlign w:val="center"/>
          </w:tcPr>
          <w:p>
            <w:pPr>
              <w:adjustRightInd w:val="0"/>
              <w:jc w:val="center"/>
              <w:rPr>
                <w:rFonts w:eastAsia="仿宋"/>
                <w:color w:val="auto"/>
                <w:kern w:val="0"/>
                <w:szCs w:val="21"/>
                <w:highlight w:val="none"/>
              </w:rPr>
            </w:pPr>
            <w:r>
              <w:rPr>
                <w:rFonts w:eastAsia="仿宋"/>
                <w:color w:val="auto"/>
                <w:kern w:val="0"/>
                <w:szCs w:val="21"/>
                <w:highlight w:val="none"/>
              </w:rPr>
              <w:t>尺量检查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055" w:type="dxa"/>
            <w:vMerge w:val="continue"/>
            <w:vAlign w:val="center"/>
          </w:tcPr>
          <w:p>
            <w:pPr>
              <w:adjustRightInd w:val="0"/>
              <w:jc w:val="center"/>
              <w:rPr>
                <w:rFonts w:eastAsia="仿宋"/>
                <w:color w:val="auto"/>
                <w:kern w:val="0"/>
                <w:szCs w:val="21"/>
                <w:highlight w:val="none"/>
              </w:rPr>
            </w:pPr>
          </w:p>
        </w:tc>
        <w:tc>
          <w:tcPr>
            <w:tcW w:w="4993" w:type="dxa"/>
            <w:vAlign w:val="center"/>
          </w:tcPr>
          <w:p>
            <w:pPr>
              <w:adjustRightInd w:val="0"/>
              <w:jc w:val="center"/>
              <w:rPr>
                <w:rFonts w:eastAsia="仿宋"/>
                <w:color w:val="auto"/>
                <w:kern w:val="0"/>
                <w:szCs w:val="21"/>
                <w:highlight w:val="none"/>
              </w:rPr>
            </w:pPr>
            <w:r>
              <w:rPr>
                <w:rFonts w:eastAsia="仿宋"/>
                <w:color w:val="auto"/>
                <w:kern w:val="0"/>
                <w:szCs w:val="21"/>
                <w:highlight w:val="none"/>
              </w:rPr>
              <w:t>孔尺寸</w:t>
            </w:r>
          </w:p>
        </w:tc>
        <w:tc>
          <w:tcPr>
            <w:tcW w:w="1400" w:type="dxa"/>
            <w:vAlign w:val="center"/>
          </w:tcPr>
          <w:p>
            <w:pPr>
              <w:adjustRightInd w:val="0"/>
              <w:jc w:val="center"/>
              <w:rPr>
                <w:rFonts w:eastAsia="仿宋"/>
                <w:color w:val="auto"/>
                <w:kern w:val="0"/>
                <w:szCs w:val="21"/>
                <w:highlight w:val="none"/>
              </w:rPr>
            </w:pPr>
            <w:r>
              <w:rPr>
                <w:rFonts w:eastAsia="仿宋"/>
                <w:color w:val="auto"/>
                <w:kern w:val="0"/>
                <w:szCs w:val="21"/>
                <w:highlight w:val="none"/>
              </w:rPr>
              <w:t>+5，0</w:t>
            </w:r>
          </w:p>
        </w:tc>
        <w:tc>
          <w:tcPr>
            <w:tcW w:w="1624" w:type="dxa"/>
            <w:vMerge w:val="continue"/>
            <w:vAlign w:val="center"/>
          </w:tcPr>
          <w:p>
            <w:pPr>
              <w:adjustRightInd w:val="0"/>
              <w:jc w:val="center"/>
              <w:rPr>
                <w:rFonts w:eastAsia="仿宋"/>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055" w:type="dxa"/>
            <w:vMerge w:val="restart"/>
            <w:vAlign w:val="center"/>
          </w:tcPr>
          <w:p>
            <w:pPr>
              <w:adjustRightInd w:val="0"/>
              <w:jc w:val="center"/>
              <w:rPr>
                <w:rFonts w:eastAsia="仿宋"/>
                <w:color w:val="auto"/>
                <w:kern w:val="0"/>
                <w:szCs w:val="21"/>
                <w:highlight w:val="none"/>
              </w:rPr>
            </w:pPr>
            <w:r>
              <w:rPr>
                <w:rFonts w:eastAsia="仿宋"/>
                <w:color w:val="auto"/>
                <w:kern w:val="0"/>
                <w:szCs w:val="21"/>
                <w:highlight w:val="none"/>
              </w:rPr>
              <w:t>设备孔</w:t>
            </w:r>
          </w:p>
        </w:tc>
        <w:tc>
          <w:tcPr>
            <w:tcW w:w="4993" w:type="dxa"/>
            <w:vAlign w:val="center"/>
          </w:tcPr>
          <w:p>
            <w:pPr>
              <w:adjustRightInd w:val="0"/>
              <w:jc w:val="center"/>
              <w:rPr>
                <w:rFonts w:eastAsia="仿宋"/>
                <w:color w:val="auto"/>
                <w:kern w:val="0"/>
                <w:szCs w:val="21"/>
                <w:highlight w:val="none"/>
              </w:rPr>
            </w:pPr>
            <w:r>
              <w:rPr>
                <w:rFonts w:eastAsia="仿宋"/>
                <w:color w:val="auto"/>
                <w:kern w:val="0"/>
                <w:szCs w:val="21"/>
                <w:highlight w:val="none"/>
              </w:rPr>
              <w:t>中心线位置</w:t>
            </w:r>
          </w:p>
        </w:tc>
        <w:tc>
          <w:tcPr>
            <w:tcW w:w="1400" w:type="dxa"/>
            <w:vAlign w:val="center"/>
          </w:tcPr>
          <w:p>
            <w:pPr>
              <w:adjustRightInd w:val="0"/>
              <w:jc w:val="center"/>
              <w:rPr>
                <w:rFonts w:eastAsia="仿宋"/>
                <w:color w:val="auto"/>
                <w:kern w:val="0"/>
                <w:szCs w:val="21"/>
                <w:highlight w:val="none"/>
              </w:rPr>
            </w:pPr>
            <w:r>
              <w:rPr>
                <w:rFonts w:eastAsia="仿宋"/>
                <w:color w:val="auto"/>
                <w:kern w:val="0"/>
                <w:szCs w:val="21"/>
                <w:highlight w:val="none"/>
              </w:rPr>
              <w:t>10</w:t>
            </w:r>
          </w:p>
        </w:tc>
        <w:tc>
          <w:tcPr>
            <w:tcW w:w="1624" w:type="dxa"/>
            <w:vMerge w:val="restart"/>
            <w:vAlign w:val="center"/>
          </w:tcPr>
          <w:p>
            <w:pPr>
              <w:adjustRightInd w:val="0"/>
              <w:jc w:val="center"/>
              <w:rPr>
                <w:rFonts w:eastAsia="仿宋"/>
                <w:color w:val="auto"/>
                <w:kern w:val="0"/>
                <w:szCs w:val="21"/>
                <w:highlight w:val="none"/>
              </w:rPr>
            </w:pPr>
            <w:r>
              <w:rPr>
                <w:rFonts w:eastAsia="仿宋"/>
                <w:color w:val="auto"/>
                <w:kern w:val="0"/>
                <w:szCs w:val="21"/>
                <w:highlight w:val="none"/>
              </w:rPr>
              <w:t>尺量检查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055" w:type="dxa"/>
            <w:vMerge w:val="continue"/>
            <w:vAlign w:val="center"/>
          </w:tcPr>
          <w:p>
            <w:pPr>
              <w:adjustRightInd w:val="0"/>
              <w:jc w:val="center"/>
              <w:rPr>
                <w:rFonts w:eastAsia="仿宋"/>
                <w:color w:val="auto"/>
                <w:kern w:val="0"/>
                <w:szCs w:val="21"/>
                <w:highlight w:val="none"/>
              </w:rPr>
            </w:pPr>
          </w:p>
        </w:tc>
        <w:tc>
          <w:tcPr>
            <w:tcW w:w="4993" w:type="dxa"/>
            <w:vAlign w:val="center"/>
          </w:tcPr>
          <w:p>
            <w:pPr>
              <w:adjustRightInd w:val="0"/>
              <w:jc w:val="center"/>
              <w:rPr>
                <w:rFonts w:eastAsia="仿宋"/>
                <w:color w:val="auto"/>
                <w:kern w:val="0"/>
                <w:szCs w:val="21"/>
                <w:highlight w:val="none"/>
              </w:rPr>
            </w:pPr>
            <w:r>
              <w:rPr>
                <w:rFonts w:eastAsia="仿宋"/>
                <w:color w:val="auto"/>
                <w:kern w:val="0"/>
                <w:szCs w:val="21"/>
                <w:highlight w:val="none"/>
              </w:rPr>
              <w:t>洞口尺寸、深度</w:t>
            </w:r>
          </w:p>
        </w:tc>
        <w:tc>
          <w:tcPr>
            <w:tcW w:w="1400" w:type="dxa"/>
            <w:vAlign w:val="center"/>
          </w:tcPr>
          <w:p>
            <w:pPr>
              <w:adjustRightInd w:val="0"/>
              <w:jc w:val="center"/>
              <w:rPr>
                <w:rFonts w:eastAsia="仿宋"/>
                <w:color w:val="auto"/>
                <w:kern w:val="0"/>
                <w:szCs w:val="21"/>
                <w:highlight w:val="none"/>
              </w:rPr>
            </w:pPr>
            <w:r>
              <w:rPr>
                <w:rFonts w:eastAsia="仿宋"/>
                <w:color w:val="auto"/>
                <w:kern w:val="0"/>
                <w:szCs w:val="21"/>
                <w:highlight w:val="none"/>
              </w:rPr>
              <w:t>±10</w:t>
            </w:r>
          </w:p>
        </w:tc>
        <w:tc>
          <w:tcPr>
            <w:tcW w:w="1624" w:type="dxa"/>
            <w:vMerge w:val="continue"/>
            <w:vAlign w:val="center"/>
          </w:tcPr>
          <w:p>
            <w:pPr>
              <w:adjustRightInd w:val="0"/>
              <w:jc w:val="center"/>
              <w:rPr>
                <w:rFonts w:eastAsia="仿宋"/>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055" w:type="dxa"/>
            <w:vMerge w:val="restart"/>
            <w:vAlign w:val="center"/>
          </w:tcPr>
          <w:p>
            <w:pPr>
              <w:adjustRightInd w:val="0"/>
              <w:jc w:val="center"/>
              <w:rPr>
                <w:rFonts w:eastAsia="仿宋"/>
                <w:color w:val="auto"/>
                <w:kern w:val="0"/>
                <w:szCs w:val="21"/>
                <w:highlight w:val="none"/>
              </w:rPr>
            </w:pPr>
            <w:r>
              <w:rPr>
                <w:rFonts w:eastAsia="仿宋"/>
                <w:color w:val="auto"/>
                <w:kern w:val="0"/>
                <w:szCs w:val="21"/>
                <w:highlight w:val="none"/>
              </w:rPr>
              <w:t>门窗口</w:t>
            </w:r>
          </w:p>
        </w:tc>
        <w:tc>
          <w:tcPr>
            <w:tcW w:w="4993" w:type="dxa"/>
            <w:vAlign w:val="center"/>
          </w:tcPr>
          <w:p>
            <w:pPr>
              <w:adjustRightInd w:val="0"/>
              <w:jc w:val="center"/>
              <w:rPr>
                <w:rFonts w:eastAsia="仿宋"/>
                <w:color w:val="auto"/>
                <w:kern w:val="0"/>
                <w:szCs w:val="21"/>
                <w:highlight w:val="none"/>
              </w:rPr>
            </w:pPr>
            <w:r>
              <w:rPr>
                <w:rFonts w:eastAsia="仿宋"/>
                <w:color w:val="auto"/>
                <w:kern w:val="0"/>
                <w:szCs w:val="21"/>
                <w:highlight w:val="none"/>
              </w:rPr>
              <w:t>中心线位置</w:t>
            </w:r>
          </w:p>
        </w:tc>
        <w:tc>
          <w:tcPr>
            <w:tcW w:w="1400" w:type="dxa"/>
            <w:vAlign w:val="center"/>
          </w:tcPr>
          <w:p>
            <w:pPr>
              <w:adjustRightInd w:val="0"/>
              <w:jc w:val="center"/>
              <w:rPr>
                <w:rFonts w:eastAsia="仿宋"/>
                <w:color w:val="auto"/>
                <w:kern w:val="0"/>
                <w:szCs w:val="21"/>
                <w:highlight w:val="none"/>
              </w:rPr>
            </w:pPr>
            <w:r>
              <w:rPr>
                <w:rFonts w:eastAsia="仿宋"/>
                <w:color w:val="auto"/>
                <w:kern w:val="0"/>
                <w:szCs w:val="21"/>
                <w:highlight w:val="none"/>
              </w:rPr>
              <w:t>5</w:t>
            </w:r>
          </w:p>
        </w:tc>
        <w:tc>
          <w:tcPr>
            <w:tcW w:w="1624" w:type="dxa"/>
            <w:vMerge w:val="restart"/>
            <w:vAlign w:val="center"/>
          </w:tcPr>
          <w:p>
            <w:pPr>
              <w:adjustRightInd w:val="0"/>
              <w:jc w:val="center"/>
              <w:rPr>
                <w:rFonts w:eastAsia="仿宋"/>
                <w:color w:val="auto"/>
                <w:kern w:val="0"/>
                <w:szCs w:val="21"/>
                <w:highlight w:val="none"/>
              </w:rPr>
            </w:pPr>
            <w:r>
              <w:rPr>
                <w:rFonts w:eastAsia="仿宋"/>
                <w:color w:val="auto"/>
                <w:kern w:val="0"/>
                <w:szCs w:val="21"/>
                <w:highlight w:val="none"/>
              </w:rPr>
              <w:t>尺量检查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055" w:type="dxa"/>
            <w:vMerge w:val="continue"/>
            <w:vAlign w:val="center"/>
          </w:tcPr>
          <w:p>
            <w:pPr>
              <w:adjustRightInd w:val="0"/>
              <w:jc w:val="center"/>
              <w:rPr>
                <w:rFonts w:eastAsia="仿宋"/>
                <w:color w:val="auto"/>
                <w:kern w:val="0"/>
                <w:szCs w:val="21"/>
                <w:highlight w:val="none"/>
              </w:rPr>
            </w:pPr>
          </w:p>
        </w:tc>
        <w:tc>
          <w:tcPr>
            <w:tcW w:w="4993" w:type="dxa"/>
            <w:vAlign w:val="center"/>
          </w:tcPr>
          <w:p>
            <w:pPr>
              <w:adjustRightInd w:val="0"/>
              <w:jc w:val="center"/>
              <w:rPr>
                <w:rFonts w:eastAsia="仿宋"/>
                <w:color w:val="auto"/>
                <w:kern w:val="0"/>
                <w:szCs w:val="21"/>
                <w:highlight w:val="none"/>
              </w:rPr>
            </w:pPr>
            <w:r>
              <w:rPr>
                <w:rFonts w:eastAsia="仿宋"/>
                <w:color w:val="auto"/>
                <w:kern w:val="0"/>
                <w:szCs w:val="21"/>
                <w:highlight w:val="none"/>
              </w:rPr>
              <w:t>宽度、高度</w:t>
            </w:r>
          </w:p>
        </w:tc>
        <w:tc>
          <w:tcPr>
            <w:tcW w:w="1400" w:type="dxa"/>
            <w:vAlign w:val="center"/>
          </w:tcPr>
          <w:p>
            <w:pPr>
              <w:adjustRightInd w:val="0"/>
              <w:jc w:val="center"/>
              <w:rPr>
                <w:rFonts w:eastAsia="仿宋"/>
                <w:color w:val="auto"/>
                <w:kern w:val="0"/>
                <w:szCs w:val="21"/>
                <w:highlight w:val="none"/>
              </w:rPr>
            </w:pPr>
            <w:r>
              <w:rPr>
                <w:rFonts w:eastAsia="仿宋"/>
                <w:color w:val="auto"/>
                <w:kern w:val="0"/>
                <w:szCs w:val="21"/>
                <w:highlight w:val="none"/>
              </w:rPr>
              <w:t>±3</w:t>
            </w:r>
          </w:p>
        </w:tc>
        <w:tc>
          <w:tcPr>
            <w:tcW w:w="1624" w:type="dxa"/>
            <w:vMerge w:val="continue"/>
            <w:vAlign w:val="center"/>
          </w:tcPr>
          <w:p>
            <w:pPr>
              <w:adjustRightInd w:val="0"/>
              <w:jc w:val="center"/>
              <w:rPr>
                <w:rFonts w:eastAsia="仿宋"/>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055" w:type="dxa"/>
            <w:vMerge w:val="restart"/>
            <w:vAlign w:val="center"/>
          </w:tcPr>
          <w:p>
            <w:pPr>
              <w:adjustRightInd w:val="0"/>
              <w:jc w:val="center"/>
              <w:rPr>
                <w:rFonts w:eastAsia="仿宋"/>
                <w:color w:val="auto"/>
                <w:kern w:val="0"/>
                <w:szCs w:val="21"/>
                <w:highlight w:val="none"/>
              </w:rPr>
            </w:pPr>
            <w:r>
              <w:rPr>
                <w:rFonts w:eastAsia="仿宋"/>
                <w:color w:val="auto"/>
                <w:kern w:val="0"/>
                <w:szCs w:val="21"/>
                <w:highlight w:val="none"/>
              </w:rPr>
              <w:t>预埋件</w:t>
            </w:r>
          </w:p>
        </w:tc>
        <w:tc>
          <w:tcPr>
            <w:tcW w:w="4993" w:type="dxa"/>
            <w:vAlign w:val="center"/>
          </w:tcPr>
          <w:p>
            <w:pPr>
              <w:adjustRightInd w:val="0"/>
              <w:jc w:val="center"/>
              <w:rPr>
                <w:rFonts w:eastAsia="仿宋"/>
                <w:color w:val="auto"/>
                <w:kern w:val="0"/>
                <w:szCs w:val="21"/>
                <w:highlight w:val="none"/>
              </w:rPr>
            </w:pPr>
            <w:r>
              <w:rPr>
                <w:rFonts w:eastAsia="仿宋"/>
                <w:color w:val="auto"/>
                <w:kern w:val="0"/>
                <w:szCs w:val="21"/>
                <w:highlight w:val="none"/>
              </w:rPr>
              <w:t>预埋件锚板中心线位置</w:t>
            </w:r>
          </w:p>
        </w:tc>
        <w:tc>
          <w:tcPr>
            <w:tcW w:w="1400" w:type="dxa"/>
            <w:vAlign w:val="center"/>
          </w:tcPr>
          <w:p>
            <w:pPr>
              <w:adjustRightInd w:val="0"/>
              <w:jc w:val="center"/>
              <w:rPr>
                <w:rFonts w:eastAsia="仿宋"/>
                <w:color w:val="auto"/>
                <w:kern w:val="0"/>
                <w:szCs w:val="21"/>
                <w:highlight w:val="none"/>
              </w:rPr>
            </w:pPr>
            <w:r>
              <w:rPr>
                <w:rFonts w:eastAsia="仿宋"/>
                <w:color w:val="auto"/>
                <w:kern w:val="0"/>
                <w:szCs w:val="21"/>
                <w:highlight w:val="none"/>
              </w:rPr>
              <w:t>5</w:t>
            </w:r>
          </w:p>
        </w:tc>
        <w:tc>
          <w:tcPr>
            <w:tcW w:w="1624" w:type="dxa"/>
            <w:vMerge w:val="restart"/>
            <w:vAlign w:val="center"/>
          </w:tcPr>
          <w:p>
            <w:pPr>
              <w:adjustRightInd w:val="0"/>
              <w:jc w:val="center"/>
              <w:rPr>
                <w:rFonts w:eastAsia="仿宋"/>
                <w:color w:val="auto"/>
                <w:kern w:val="0"/>
                <w:szCs w:val="21"/>
                <w:highlight w:val="none"/>
              </w:rPr>
            </w:pPr>
            <w:r>
              <w:rPr>
                <w:rFonts w:eastAsia="仿宋"/>
                <w:color w:val="auto"/>
                <w:kern w:val="0"/>
                <w:szCs w:val="21"/>
                <w:highlight w:val="none"/>
              </w:rPr>
              <w:t>尺量检查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55" w:type="dxa"/>
            <w:vMerge w:val="continue"/>
            <w:vAlign w:val="center"/>
          </w:tcPr>
          <w:p>
            <w:pPr>
              <w:adjustRightInd w:val="0"/>
              <w:jc w:val="center"/>
              <w:rPr>
                <w:rFonts w:eastAsia="仿宋"/>
                <w:color w:val="auto"/>
                <w:kern w:val="0"/>
                <w:szCs w:val="21"/>
                <w:highlight w:val="none"/>
              </w:rPr>
            </w:pPr>
          </w:p>
        </w:tc>
        <w:tc>
          <w:tcPr>
            <w:tcW w:w="4993" w:type="dxa"/>
            <w:vMerge w:val="restart"/>
            <w:vAlign w:val="center"/>
          </w:tcPr>
          <w:p>
            <w:pPr>
              <w:adjustRightInd w:val="0"/>
              <w:jc w:val="center"/>
              <w:rPr>
                <w:rFonts w:eastAsia="仿宋"/>
                <w:color w:val="auto"/>
                <w:kern w:val="0"/>
                <w:szCs w:val="21"/>
                <w:highlight w:val="none"/>
              </w:rPr>
            </w:pPr>
            <w:r>
              <w:rPr>
                <w:rFonts w:eastAsia="仿宋"/>
                <w:color w:val="auto"/>
                <w:kern w:val="0"/>
                <w:szCs w:val="21"/>
                <w:highlight w:val="none"/>
              </w:rPr>
              <w:t>预埋件锚板与混凝土面</w:t>
            </w:r>
          </w:p>
          <w:p>
            <w:pPr>
              <w:adjustRightInd w:val="0"/>
              <w:jc w:val="center"/>
              <w:rPr>
                <w:rFonts w:eastAsia="仿宋"/>
                <w:color w:val="auto"/>
                <w:kern w:val="0"/>
                <w:szCs w:val="21"/>
                <w:highlight w:val="none"/>
              </w:rPr>
            </w:pPr>
            <w:r>
              <w:rPr>
                <w:rFonts w:eastAsia="仿宋"/>
                <w:color w:val="auto"/>
                <w:kern w:val="0"/>
                <w:szCs w:val="21"/>
                <w:highlight w:val="none"/>
              </w:rPr>
              <w:t>平面高差</w:t>
            </w:r>
          </w:p>
        </w:tc>
        <w:tc>
          <w:tcPr>
            <w:tcW w:w="1400" w:type="dxa"/>
            <w:vMerge w:val="restart"/>
            <w:vAlign w:val="center"/>
          </w:tcPr>
          <w:p>
            <w:pPr>
              <w:adjustRightInd w:val="0"/>
              <w:jc w:val="center"/>
              <w:rPr>
                <w:rFonts w:eastAsia="仿宋"/>
                <w:color w:val="auto"/>
                <w:kern w:val="0"/>
                <w:szCs w:val="21"/>
                <w:highlight w:val="none"/>
              </w:rPr>
            </w:pPr>
            <w:r>
              <w:rPr>
                <w:rFonts w:eastAsia="仿宋"/>
                <w:color w:val="auto"/>
                <w:kern w:val="0"/>
                <w:szCs w:val="21"/>
                <w:highlight w:val="none"/>
              </w:rPr>
              <w:t>0，-5</w:t>
            </w:r>
          </w:p>
        </w:tc>
        <w:tc>
          <w:tcPr>
            <w:tcW w:w="1624" w:type="dxa"/>
            <w:vMerge w:val="continue"/>
            <w:vAlign w:val="center"/>
          </w:tcPr>
          <w:p>
            <w:pPr>
              <w:adjustRightInd w:val="0"/>
              <w:jc w:val="center"/>
              <w:rPr>
                <w:rFonts w:eastAsia="仿宋"/>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55" w:type="dxa"/>
            <w:vMerge w:val="continue"/>
            <w:vAlign w:val="center"/>
          </w:tcPr>
          <w:p>
            <w:pPr>
              <w:adjustRightInd w:val="0"/>
              <w:jc w:val="center"/>
              <w:rPr>
                <w:rFonts w:eastAsia="仿宋"/>
                <w:color w:val="auto"/>
                <w:kern w:val="0"/>
                <w:szCs w:val="21"/>
                <w:highlight w:val="none"/>
              </w:rPr>
            </w:pPr>
          </w:p>
        </w:tc>
        <w:tc>
          <w:tcPr>
            <w:tcW w:w="4993" w:type="dxa"/>
            <w:vMerge w:val="continue"/>
            <w:vAlign w:val="center"/>
          </w:tcPr>
          <w:p>
            <w:pPr>
              <w:adjustRightInd w:val="0"/>
              <w:jc w:val="center"/>
              <w:rPr>
                <w:rFonts w:eastAsia="仿宋"/>
                <w:color w:val="auto"/>
                <w:kern w:val="0"/>
                <w:szCs w:val="21"/>
                <w:highlight w:val="none"/>
              </w:rPr>
            </w:pPr>
          </w:p>
        </w:tc>
        <w:tc>
          <w:tcPr>
            <w:tcW w:w="1400" w:type="dxa"/>
            <w:vMerge w:val="continue"/>
            <w:vAlign w:val="center"/>
          </w:tcPr>
          <w:p>
            <w:pPr>
              <w:adjustRightInd w:val="0"/>
              <w:jc w:val="center"/>
              <w:rPr>
                <w:rFonts w:eastAsia="仿宋"/>
                <w:color w:val="auto"/>
                <w:kern w:val="0"/>
                <w:szCs w:val="21"/>
                <w:highlight w:val="none"/>
              </w:rPr>
            </w:pPr>
          </w:p>
        </w:tc>
        <w:tc>
          <w:tcPr>
            <w:tcW w:w="1624" w:type="dxa"/>
            <w:vMerge w:val="continue"/>
            <w:vAlign w:val="center"/>
          </w:tcPr>
          <w:p>
            <w:pPr>
              <w:adjustRightInd w:val="0"/>
              <w:jc w:val="center"/>
              <w:rPr>
                <w:rFonts w:eastAsia="仿宋"/>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055" w:type="dxa"/>
            <w:vMerge w:val="continue"/>
            <w:vAlign w:val="center"/>
          </w:tcPr>
          <w:p>
            <w:pPr>
              <w:adjustRightInd w:val="0"/>
              <w:jc w:val="center"/>
              <w:rPr>
                <w:rFonts w:eastAsia="仿宋"/>
                <w:color w:val="auto"/>
                <w:kern w:val="0"/>
                <w:szCs w:val="21"/>
                <w:highlight w:val="none"/>
              </w:rPr>
            </w:pPr>
          </w:p>
        </w:tc>
        <w:tc>
          <w:tcPr>
            <w:tcW w:w="4993" w:type="dxa"/>
            <w:vAlign w:val="center"/>
          </w:tcPr>
          <w:p>
            <w:pPr>
              <w:adjustRightInd w:val="0"/>
              <w:jc w:val="center"/>
              <w:rPr>
                <w:rFonts w:eastAsia="仿宋"/>
                <w:color w:val="auto"/>
                <w:kern w:val="0"/>
                <w:szCs w:val="21"/>
                <w:highlight w:val="none"/>
              </w:rPr>
            </w:pPr>
            <w:r>
              <w:rPr>
                <w:rFonts w:eastAsia="仿宋"/>
                <w:color w:val="auto"/>
                <w:kern w:val="0"/>
                <w:szCs w:val="21"/>
                <w:highlight w:val="none"/>
              </w:rPr>
              <w:t>预埋螺栓中心线位置</w:t>
            </w:r>
          </w:p>
        </w:tc>
        <w:tc>
          <w:tcPr>
            <w:tcW w:w="1400" w:type="dxa"/>
            <w:vAlign w:val="center"/>
          </w:tcPr>
          <w:p>
            <w:pPr>
              <w:adjustRightInd w:val="0"/>
              <w:jc w:val="center"/>
              <w:rPr>
                <w:rFonts w:eastAsia="仿宋"/>
                <w:color w:val="auto"/>
                <w:kern w:val="0"/>
                <w:szCs w:val="21"/>
                <w:highlight w:val="none"/>
              </w:rPr>
            </w:pPr>
            <w:r>
              <w:rPr>
                <w:rFonts w:eastAsia="仿宋"/>
                <w:color w:val="auto"/>
                <w:kern w:val="0"/>
                <w:szCs w:val="21"/>
                <w:highlight w:val="none"/>
              </w:rPr>
              <w:t>2</w:t>
            </w:r>
          </w:p>
        </w:tc>
        <w:tc>
          <w:tcPr>
            <w:tcW w:w="1624" w:type="dxa"/>
            <w:vMerge w:val="continue"/>
            <w:vAlign w:val="center"/>
          </w:tcPr>
          <w:p>
            <w:pPr>
              <w:adjustRightInd w:val="0"/>
              <w:jc w:val="center"/>
              <w:rPr>
                <w:rFonts w:eastAsia="仿宋"/>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055" w:type="dxa"/>
            <w:vMerge w:val="continue"/>
            <w:vAlign w:val="center"/>
          </w:tcPr>
          <w:p>
            <w:pPr>
              <w:adjustRightInd w:val="0"/>
              <w:jc w:val="center"/>
              <w:rPr>
                <w:rFonts w:eastAsia="仿宋"/>
                <w:color w:val="auto"/>
                <w:kern w:val="0"/>
                <w:szCs w:val="21"/>
                <w:highlight w:val="none"/>
              </w:rPr>
            </w:pPr>
          </w:p>
        </w:tc>
        <w:tc>
          <w:tcPr>
            <w:tcW w:w="4993" w:type="dxa"/>
            <w:vAlign w:val="center"/>
          </w:tcPr>
          <w:p>
            <w:pPr>
              <w:adjustRightInd w:val="0"/>
              <w:jc w:val="center"/>
              <w:rPr>
                <w:rFonts w:eastAsia="仿宋"/>
                <w:color w:val="auto"/>
                <w:kern w:val="0"/>
                <w:szCs w:val="21"/>
                <w:highlight w:val="none"/>
              </w:rPr>
            </w:pPr>
            <w:r>
              <w:rPr>
                <w:rFonts w:eastAsia="仿宋"/>
                <w:color w:val="auto"/>
                <w:kern w:val="0"/>
                <w:szCs w:val="21"/>
                <w:highlight w:val="none"/>
              </w:rPr>
              <w:t>预埋螺栓外露长度</w:t>
            </w:r>
          </w:p>
        </w:tc>
        <w:tc>
          <w:tcPr>
            <w:tcW w:w="1400" w:type="dxa"/>
            <w:vAlign w:val="center"/>
          </w:tcPr>
          <w:p>
            <w:pPr>
              <w:adjustRightInd w:val="0"/>
              <w:jc w:val="center"/>
              <w:rPr>
                <w:rFonts w:eastAsia="仿宋"/>
                <w:color w:val="auto"/>
                <w:kern w:val="0"/>
                <w:szCs w:val="21"/>
                <w:highlight w:val="none"/>
              </w:rPr>
            </w:pPr>
            <w:r>
              <w:rPr>
                <w:rFonts w:eastAsia="仿宋"/>
                <w:color w:val="auto"/>
                <w:kern w:val="0"/>
                <w:szCs w:val="21"/>
                <w:highlight w:val="none"/>
              </w:rPr>
              <w:t>+10，-5</w:t>
            </w:r>
          </w:p>
        </w:tc>
        <w:tc>
          <w:tcPr>
            <w:tcW w:w="1624" w:type="dxa"/>
            <w:vMerge w:val="continue"/>
            <w:vAlign w:val="center"/>
          </w:tcPr>
          <w:p>
            <w:pPr>
              <w:adjustRightInd w:val="0"/>
              <w:jc w:val="center"/>
              <w:rPr>
                <w:rFonts w:eastAsia="仿宋"/>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055" w:type="dxa"/>
            <w:vMerge w:val="continue"/>
            <w:vAlign w:val="center"/>
          </w:tcPr>
          <w:p>
            <w:pPr>
              <w:adjustRightInd w:val="0"/>
              <w:jc w:val="center"/>
              <w:rPr>
                <w:rFonts w:eastAsia="仿宋"/>
                <w:color w:val="auto"/>
                <w:kern w:val="0"/>
                <w:szCs w:val="21"/>
                <w:highlight w:val="none"/>
              </w:rPr>
            </w:pPr>
          </w:p>
        </w:tc>
        <w:tc>
          <w:tcPr>
            <w:tcW w:w="4993" w:type="dxa"/>
            <w:vAlign w:val="center"/>
          </w:tcPr>
          <w:p>
            <w:pPr>
              <w:adjustRightInd w:val="0"/>
              <w:jc w:val="center"/>
              <w:rPr>
                <w:rFonts w:eastAsia="仿宋"/>
                <w:color w:val="auto"/>
                <w:kern w:val="0"/>
                <w:szCs w:val="21"/>
                <w:highlight w:val="none"/>
              </w:rPr>
            </w:pPr>
            <w:r>
              <w:rPr>
                <w:rFonts w:eastAsia="仿宋"/>
                <w:color w:val="auto"/>
                <w:kern w:val="0"/>
                <w:szCs w:val="21"/>
                <w:highlight w:val="none"/>
              </w:rPr>
              <w:t>预埋套筒、螺母中心线位置</w:t>
            </w:r>
          </w:p>
        </w:tc>
        <w:tc>
          <w:tcPr>
            <w:tcW w:w="1400" w:type="dxa"/>
            <w:vAlign w:val="center"/>
          </w:tcPr>
          <w:p>
            <w:pPr>
              <w:adjustRightInd w:val="0"/>
              <w:jc w:val="center"/>
              <w:rPr>
                <w:rFonts w:eastAsia="仿宋"/>
                <w:color w:val="auto"/>
                <w:kern w:val="0"/>
                <w:szCs w:val="21"/>
                <w:highlight w:val="none"/>
              </w:rPr>
            </w:pPr>
            <w:r>
              <w:rPr>
                <w:rFonts w:eastAsia="仿宋"/>
                <w:color w:val="auto"/>
                <w:kern w:val="0"/>
                <w:szCs w:val="21"/>
                <w:highlight w:val="none"/>
              </w:rPr>
              <w:t>2</w:t>
            </w:r>
          </w:p>
        </w:tc>
        <w:tc>
          <w:tcPr>
            <w:tcW w:w="1624" w:type="dxa"/>
            <w:vMerge w:val="continue"/>
            <w:vAlign w:val="center"/>
          </w:tcPr>
          <w:p>
            <w:pPr>
              <w:adjustRightInd w:val="0"/>
              <w:jc w:val="center"/>
              <w:rPr>
                <w:rFonts w:eastAsia="仿宋"/>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55" w:type="dxa"/>
            <w:vMerge w:val="continue"/>
            <w:vAlign w:val="center"/>
          </w:tcPr>
          <w:p>
            <w:pPr>
              <w:adjustRightInd w:val="0"/>
              <w:jc w:val="center"/>
              <w:rPr>
                <w:rFonts w:eastAsia="仿宋"/>
                <w:color w:val="auto"/>
                <w:kern w:val="0"/>
                <w:szCs w:val="21"/>
                <w:highlight w:val="none"/>
              </w:rPr>
            </w:pPr>
          </w:p>
        </w:tc>
        <w:tc>
          <w:tcPr>
            <w:tcW w:w="4993" w:type="dxa"/>
            <w:vMerge w:val="restart"/>
            <w:vAlign w:val="center"/>
          </w:tcPr>
          <w:p>
            <w:pPr>
              <w:adjustRightInd w:val="0"/>
              <w:jc w:val="center"/>
              <w:rPr>
                <w:rFonts w:eastAsia="仿宋"/>
                <w:color w:val="auto"/>
                <w:kern w:val="0"/>
                <w:szCs w:val="21"/>
                <w:highlight w:val="none"/>
              </w:rPr>
            </w:pPr>
            <w:r>
              <w:rPr>
                <w:rFonts w:eastAsia="仿宋"/>
                <w:color w:val="auto"/>
                <w:kern w:val="0"/>
                <w:szCs w:val="21"/>
                <w:highlight w:val="none"/>
              </w:rPr>
              <w:t>预埋套筒、螺母与</w:t>
            </w:r>
          </w:p>
          <w:p>
            <w:pPr>
              <w:adjustRightInd w:val="0"/>
              <w:jc w:val="center"/>
              <w:rPr>
                <w:rFonts w:eastAsia="仿宋"/>
                <w:color w:val="auto"/>
                <w:kern w:val="0"/>
                <w:szCs w:val="21"/>
                <w:highlight w:val="none"/>
              </w:rPr>
            </w:pPr>
            <w:r>
              <w:rPr>
                <w:rFonts w:eastAsia="仿宋"/>
                <w:color w:val="auto"/>
                <w:kern w:val="0"/>
                <w:szCs w:val="21"/>
                <w:highlight w:val="none"/>
              </w:rPr>
              <w:t>混凝土面平面高差</w:t>
            </w:r>
          </w:p>
        </w:tc>
        <w:tc>
          <w:tcPr>
            <w:tcW w:w="1400" w:type="dxa"/>
            <w:vMerge w:val="restart"/>
            <w:vAlign w:val="center"/>
          </w:tcPr>
          <w:p>
            <w:pPr>
              <w:adjustRightInd w:val="0"/>
              <w:jc w:val="center"/>
              <w:rPr>
                <w:rFonts w:eastAsia="仿宋"/>
                <w:color w:val="auto"/>
                <w:kern w:val="0"/>
                <w:szCs w:val="21"/>
                <w:highlight w:val="none"/>
              </w:rPr>
            </w:pPr>
            <w:r>
              <w:rPr>
                <w:rFonts w:eastAsia="仿宋"/>
                <w:color w:val="auto"/>
                <w:kern w:val="0"/>
                <w:szCs w:val="21"/>
                <w:highlight w:val="none"/>
              </w:rPr>
              <w:t>0，-5</w:t>
            </w:r>
          </w:p>
        </w:tc>
        <w:tc>
          <w:tcPr>
            <w:tcW w:w="1624" w:type="dxa"/>
            <w:vMerge w:val="continue"/>
            <w:vAlign w:val="center"/>
          </w:tcPr>
          <w:p>
            <w:pPr>
              <w:adjustRightInd w:val="0"/>
              <w:jc w:val="center"/>
              <w:rPr>
                <w:rFonts w:eastAsia="仿宋"/>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55" w:type="dxa"/>
            <w:vMerge w:val="continue"/>
            <w:vAlign w:val="center"/>
          </w:tcPr>
          <w:p>
            <w:pPr>
              <w:adjustRightInd w:val="0"/>
              <w:jc w:val="center"/>
              <w:rPr>
                <w:rFonts w:eastAsia="仿宋"/>
                <w:color w:val="auto"/>
                <w:kern w:val="0"/>
                <w:szCs w:val="21"/>
                <w:highlight w:val="none"/>
              </w:rPr>
            </w:pPr>
          </w:p>
        </w:tc>
        <w:tc>
          <w:tcPr>
            <w:tcW w:w="4993" w:type="dxa"/>
            <w:vMerge w:val="continue"/>
            <w:vAlign w:val="center"/>
          </w:tcPr>
          <w:p>
            <w:pPr>
              <w:adjustRightInd w:val="0"/>
              <w:jc w:val="center"/>
              <w:rPr>
                <w:rFonts w:eastAsia="仿宋"/>
                <w:color w:val="auto"/>
                <w:kern w:val="0"/>
                <w:szCs w:val="21"/>
                <w:highlight w:val="none"/>
              </w:rPr>
            </w:pPr>
          </w:p>
        </w:tc>
        <w:tc>
          <w:tcPr>
            <w:tcW w:w="1400" w:type="dxa"/>
            <w:vMerge w:val="continue"/>
            <w:vAlign w:val="center"/>
          </w:tcPr>
          <w:p>
            <w:pPr>
              <w:adjustRightInd w:val="0"/>
              <w:jc w:val="center"/>
              <w:rPr>
                <w:rFonts w:eastAsia="仿宋"/>
                <w:color w:val="auto"/>
                <w:kern w:val="0"/>
                <w:szCs w:val="21"/>
                <w:highlight w:val="none"/>
              </w:rPr>
            </w:pPr>
          </w:p>
        </w:tc>
        <w:tc>
          <w:tcPr>
            <w:tcW w:w="1624" w:type="dxa"/>
            <w:vMerge w:val="continue"/>
            <w:vAlign w:val="center"/>
          </w:tcPr>
          <w:p>
            <w:pPr>
              <w:adjustRightInd w:val="0"/>
              <w:jc w:val="center"/>
              <w:rPr>
                <w:rFonts w:eastAsia="仿宋"/>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55" w:type="dxa"/>
            <w:vMerge w:val="continue"/>
            <w:vAlign w:val="center"/>
          </w:tcPr>
          <w:p>
            <w:pPr>
              <w:adjustRightInd w:val="0"/>
              <w:jc w:val="center"/>
              <w:rPr>
                <w:rFonts w:eastAsia="仿宋"/>
                <w:color w:val="auto"/>
                <w:kern w:val="0"/>
                <w:szCs w:val="21"/>
                <w:highlight w:val="none"/>
              </w:rPr>
            </w:pPr>
          </w:p>
        </w:tc>
        <w:tc>
          <w:tcPr>
            <w:tcW w:w="4993" w:type="dxa"/>
            <w:vMerge w:val="restart"/>
            <w:vAlign w:val="center"/>
          </w:tcPr>
          <w:p>
            <w:pPr>
              <w:adjustRightInd w:val="0"/>
              <w:jc w:val="center"/>
              <w:rPr>
                <w:rFonts w:eastAsia="仿宋"/>
                <w:color w:val="auto"/>
                <w:kern w:val="0"/>
                <w:szCs w:val="21"/>
                <w:highlight w:val="none"/>
              </w:rPr>
            </w:pPr>
            <w:r>
              <w:rPr>
                <w:rFonts w:eastAsia="仿宋"/>
                <w:color w:val="auto"/>
                <w:kern w:val="0"/>
                <w:szCs w:val="21"/>
                <w:highlight w:val="none"/>
              </w:rPr>
              <w:t>线管、电盒、木砖、吊环在</w:t>
            </w:r>
          </w:p>
          <w:p>
            <w:pPr>
              <w:adjustRightInd w:val="0"/>
              <w:jc w:val="center"/>
              <w:rPr>
                <w:rFonts w:eastAsia="仿宋"/>
                <w:color w:val="auto"/>
                <w:kern w:val="0"/>
                <w:szCs w:val="21"/>
                <w:highlight w:val="none"/>
              </w:rPr>
            </w:pPr>
            <w:r>
              <w:rPr>
                <w:rFonts w:eastAsia="仿宋"/>
                <w:color w:val="auto"/>
                <w:kern w:val="0"/>
                <w:szCs w:val="21"/>
                <w:highlight w:val="none"/>
              </w:rPr>
              <w:t>构件平面的中心线位置偏差</w:t>
            </w:r>
          </w:p>
        </w:tc>
        <w:tc>
          <w:tcPr>
            <w:tcW w:w="1400" w:type="dxa"/>
            <w:vMerge w:val="restart"/>
            <w:vAlign w:val="center"/>
          </w:tcPr>
          <w:p>
            <w:pPr>
              <w:adjustRightInd w:val="0"/>
              <w:jc w:val="center"/>
              <w:rPr>
                <w:rFonts w:eastAsia="仿宋"/>
                <w:color w:val="auto"/>
                <w:kern w:val="0"/>
                <w:szCs w:val="21"/>
                <w:highlight w:val="none"/>
              </w:rPr>
            </w:pPr>
            <w:r>
              <w:rPr>
                <w:rFonts w:eastAsia="仿宋"/>
                <w:color w:val="auto"/>
                <w:kern w:val="0"/>
                <w:szCs w:val="21"/>
                <w:highlight w:val="none"/>
              </w:rPr>
              <w:t>20</w:t>
            </w:r>
          </w:p>
        </w:tc>
        <w:tc>
          <w:tcPr>
            <w:tcW w:w="1624" w:type="dxa"/>
            <w:vMerge w:val="continue"/>
            <w:vAlign w:val="center"/>
          </w:tcPr>
          <w:p>
            <w:pPr>
              <w:adjustRightInd w:val="0"/>
              <w:jc w:val="center"/>
              <w:rPr>
                <w:rFonts w:eastAsia="仿宋"/>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55" w:type="dxa"/>
            <w:vMerge w:val="continue"/>
            <w:vAlign w:val="center"/>
          </w:tcPr>
          <w:p>
            <w:pPr>
              <w:adjustRightInd w:val="0"/>
              <w:jc w:val="center"/>
              <w:rPr>
                <w:rFonts w:eastAsia="仿宋"/>
                <w:color w:val="auto"/>
                <w:kern w:val="0"/>
                <w:szCs w:val="21"/>
                <w:highlight w:val="none"/>
              </w:rPr>
            </w:pPr>
          </w:p>
        </w:tc>
        <w:tc>
          <w:tcPr>
            <w:tcW w:w="4993" w:type="dxa"/>
            <w:vMerge w:val="continue"/>
            <w:vAlign w:val="center"/>
          </w:tcPr>
          <w:p>
            <w:pPr>
              <w:adjustRightInd w:val="0"/>
              <w:jc w:val="center"/>
              <w:rPr>
                <w:rFonts w:eastAsia="仿宋"/>
                <w:color w:val="auto"/>
                <w:kern w:val="0"/>
                <w:szCs w:val="21"/>
                <w:highlight w:val="none"/>
              </w:rPr>
            </w:pPr>
          </w:p>
        </w:tc>
        <w:tc>
          <w:tcPr>
            <w:tcW w:w="1400" w:type="dxa"/>
            <w:vMerge w:val="continue"/>
            <w:vAlign w:val="center"/>
          </w:tcPr>
          <w:p>
            <w:pPr>
              <w:adjustRightInd w:val="0"/>
              <w:jc w:val="center"/>
              <w:rPr>
                <w:rFonts w:eastAsia="仿宋"/>
                <w:color w:val="auto"/>
                <w:kern w:val="0"/>
                <w:szCs w:val="21"/>
                <w:highlight w:val="none"/>
              </w:rPr>
            </w:pPr>
          </w:p>
        </w:tc>
        <w:tc>
          <w:tcPr>
            <w:tcW w:w="1624" w:type="dxa"/>
            <w:vMerge w:val="continue"/>
            <w:vAlign w:val="center"/>
          </w:tcPr>
          <w:p>
            <w:pPr>
              <w:adjustRightInd w:val="0"/>
              <w:jc w:val="center"/>
              <w:rPr>
                <w:rFonts w:eastAsia="仿宋"/>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55" w:type="dxa"/>
            <w:vMerge w:val="continue"/>
            <w:vAlign w:val="center"/>
          </w:tcPr>
          <w:p>
            <w:pPr>
              <w:adjustRightInd w:val="0"/>
              <w:jc w:val="center"/>
              <w:rPr>
                <w:rFonts w:eastAsia="仿宋"/>
                <w:color w:val="auto"/>
                <w:kern w:val="0"/>
                <w:szCs w:val="21"/>
                <w:highlight w:val="none"/>
              </w:rPr>
            </w:pPr>
          </w:p>
        </w:tc>
        <w:tc>
          <w:tcPr>
            <w:tcW w:w="4993" w:type="dxa"/>
            <w:vMerge w:val="restart"/>
            <w:vAlign w:val="center"/>
          </w:tcPr>
          <w:p>
            <w:pPr>
              <w:adjustRightInd w:val="0"/>
              <w:jc w:val="center"/>
              <w:rPr>
                <w:rFonts w:eastAsia="仿宋"/>
                <w:color w:val="auto"/>
                <w:kern w:val="0"/>
                <w:szCs w:val="21"/>
                <w:highlight w:val="none"/>
              </w:rPr>
            </w:pPr>
            <w:r>
              <w:rPr>
                <w:rFonts w:eastAsia="仿宋"/>
                <w:color w:val="auto"/>
                <w:kern w:val="0"/>
                <w:szCs w:val="21"/>
                <w:highlight w:val="none"/>
              </w:rPr>
              <w:t>线管、电盒、木砖、吊环在</w:t>
            </w:r>
          </w:p>
          <w:p>
            <w:pPr>
              <w:adjustRightInd w:val="0"/>
              <w:jc w:val="center"/>
              <w:rPr>
                <w:rFonts w:eastAsia="仿宋"/>
                <w:color w:val="auto"/>
                <w:kern w:val="0"/>
                <w:szCs w:val="21"/>
                <w:highlight w:val="none"/>
              </w:rPr>
            </w:pPr>
            <w:r>
              <w:rPr>
                <w:rFonts w:eastAsia="仿宋"/>
                <w:color w:val="auto"/>
                <w:kern w:val="0"/>
                <w:szCs w:val="21"/>
                <w:highlight w:val="none"/>
              </w:rPr>
              <w:t>构件表面混凝土高差</w:t>
            </w:r>
          </w:p>
        </w:tc>
        <w:tc>
          <w:tcPr>
            <w:tcW w:w="1400" w:type="dxa"/>
            <w:vMerge w:val="restart"/>
            <w:vAlign w:val="center"/>
          </w:tcPr>
          <w:p>
            <w:pPr>
              <w:adjustRightInd w:val="0"/>
              <w:jc w:val="center"/>
              <w:rPr>
                <w:rFonts w:eastAsia="仿宋"/>
                <w:color w:val="auto"/>
                <w:kern w:val="0"/>
                <w:szCs w:val="21"/>
                <w:highlight w:val="none"/>
              </w:rPr>
            </w:pPr>
            <w:r>
              <w:rPr>
                <w:rFonts w:eastAsia="仿宋"/>
                <w:color w:val="auto"/>
                <w:kern w:val="0"/>
                <w:szCs w:val="21"/>
                <w:highlight w:val="none"/>
              </w:rPr>
              <w:t>0，-10</w:t>
            </w:r>
          </w:p>
        </w:tc>
        <w:tc>
          <w:tcPr>
            <w:tcW w:w="1624" w:type="dxa"/>
            <w:vMerge w:val="continue"/>
            <w:vAlign w:val="center"/>
          </w:tcPr>
          <w:p>
            <w:pPr>
              <w:adjustRightInd w:val="0"/>
              <w:jc w:val="center"/>
              <w:rPr>
                <w:rFonts w:eastAsia="仿宋"/>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55" w:type="dxa"/>
            <w:vMerge w:val="continue"/>
            <w:tcBorders>
              <w:bottom w:val="single" w:color="auto" w:sz="4" w:space="0"/>
            </w:tcBorders>
            <w:vAlign w:val="center"/>
          </w:tcPr>
          <w:p>
            <w:pPr>
              <w:adjustRightInd w:val="0"/>
              <w:jc w:val="center"/>
              <w:rPr>
                <w:rFonts w:eastAsia="仿宋"/>
                <w:color w:val="auto"/>
                <w:kern w:val="0"/>
                <w:szCs w:val="21"/>
                <w:highlight w:val="none"/>
              </w:rPr>
            </w:pPr>
          </w:p>
        </w:tc>
        <w:tc>
          <w:tcPr>
            <w:tcW w:w="4993" w:type="dxa"/>
            <w:vMerge w:val="continue"/>
            <w:vAlign w:val="center"/>
          </w:tcPr>
          <w:p>
            <w:pPr>
              <w:adjustRightInd w:val="0"/>
              <w:jc w:val="center"/>
              <w:rPr>
                <w:rFonts w:eastAsia="仿宋"/>
                <w:color w:val="auto"/>
                <w:kern w:val="0"/>
                <w:szCs w:val="21"/>
                <w:highlight w:val="none"/>
              </w:rPr>
            </w:pPr>
          </w:p>
        </w:tc>
        <w:tc>
          <w:tcPr>
            <w:tcW w:w="1400" w:type="dxa"/>
            <w:vMerge w:val="continue"/>
            <w:vAlign w:val="center"/>
          </w:tcPr>
          <w:p>
            <w:pPr>
              <w:adjustRightInd w:val="0"/>
              <w:jc w:val="center"/>
              <w:rPr>
                <w:rFonts w:eastAsia="仿宋"/>
                <w:color w:val="auto"/>
                <w:kern w:val="0"/>
                <w:szCs w:val="21"/>
                <w:highlight w:val="none"/>
              </w:rPr>
            </w:pPr>
          </w:p>
        </w:tc>
        <w:tc>
          <w:tcPr>
            <w:tcW w:w="1624" w:type="dxa"/>
            <w:vMerge w:val="continue"/>
            <w:vAlign w:val="center"/>
          </w:tcPr>
          <w:p>
            <w:pPr>
              <w:adjustRightInd w:val="0"/>
              <w:jc w:val="center"/>
              <w:rPr>
                <w:rFonts w:eastAsia="仿宋"/>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055" w:type="dxa"/>
            <w:vMerge w:val="restart"/>
            <w:tcBorders>
              <w:top w:val="single" w:color="auto" w:sz="4" w:space="0"/>
            </w:tcBorders>
            <w:vAlign w:val="center"/>
          </w:tcPr>
          <w:p>
            <w:pPr>
              <w:adjustRightInd w:val="0"/>
              <w:jc w:val="center"/>
              <w:rPr>
                <w:rFonts w:eastAsia="仿宋"/>
                <w:color w:val="auto"/>
                <w:kern w:val="0"/>
                <w:szCs w:val="21"/>
                <w:highlight w:val="none"/>
              </w:rPr>
            </w:pPr>
            <w:r>
              <w:rPr>
                <w:rFonts w:eastAsia="仿宋"/>
                <w:color w:val="auto"/>
                <w:kern w:val="0"/>
                <w:szCs w:val="21"/>
                <w:highlight w:val="none"/>
              </w:rPr>
              <w:t>预留插筋</w:t>
            </w:r>
          </w:p>
        </w:tc>
        <w:tc>
          <w:tcPr>
            <w:tcW w:w="4993" w:type="dxa"/>
            <w:tcBorders>
              <w:top w:val="single" w:color="auto" w:sz="4" w:space="0"/>
              <w:bottom w:val="single" w:color="auto" w:sz="4" w:space="0"/>
            </w:tcBorders>
            <w:vAlign w:val="center"/>
          </w:tcPr>
          <w:p>
            <w:pPr>
              <w:adjustRightInd w:val="0"/>
              <w:jc w:val="center"/>
              <w:rPr>
                <w:rFonts w:eastAsia="仿宋"/>
                <w:color w:val="auto"/>
                <w:kern w:val="0"/>
                <w:szCs w:val="21"/>
                <w:highlight w:val="none"/>
              </w:rPr>
            </w:pPr>
            <w:r>
              <w:rPr>
                <w:rFonts w:eastAsia="仿宋"/>
                <w:color w:val="auto"/>
                <w:kern w:val="0"/>
                <w:szCs w:val="21"/>
                <w:highlight w:val="none"/>
              </w:rPr>
              <w:t>中心线位置</w:t>
            </w:r>
          </w:p>
        </w:tc>
        <w:tc>
          <w:tcPr>
            <w:tcW w:w="1400" w:type="dxa"/>
            <w:tcBorders>
              <w:top w:val="single" w:color="auto" w:sz="4" w:space="0"/>
              <w:bottom w:val="single" w:color="auto" w:sz="4" w:space="0"/>
            </w:tcBorders>
            <w:vAlign w:val="center"/>
          </w:tcPr>
          <w:p>
            <w:pPr>
              <w:adjustRightInd w:val="0"/>
              <w:jc w:val="center"/>
              <w:rPr>
                <w:rFonts w:eastAsia="仿宋"/>
                <w:color w:val="auto"/>
                <w:kern w:val="0"/>
                <w:szCs w:val="21"/>
                <w:highlight w:val="none"/>
              </w:rPr>
            </w:pPr>
            <w:r>
              <w:rPr>
                <w:rFonts w:eastAsia="仿宋"/>
                <w:color w:val="auto"/>
                <w:kern w:val="0"/>
                <w:szCs w:val="21"/>
                <w:highlight w:val="none"/>
              </w:rPr>
              <w:t>3</w:t>
            </w:r>
          </w:p>
        </w:tc>
        <w:tc>
          <w:tcPr>
            <w:tcW w:w="1624" w:type="dxa"/>
            <w:vMerge w:val="restart"/>
            <w:tcBorders>
              <w:top w:val="single" w:color="auto" w:sz="4" w:space="0"/>
            </w:tcBorders>
            <w:vAlign w:val="center"/>
          </w:tcPr>
          <w:p>
            <w:pPr>
              <w:adjustRightInd w:val="0"/>
              <w:jc w:val="center"/>
              <w:rPr>
                <w:rFonts w:eastAsia="仿宋"/>
                <w:color w:val="auto"/>
                <w:kern w:val="0"/>
                <w:szCs w:val="21"/>
                <w:highlight w:val="none"/>
              </w:rPr>
            </w:pPr>
            <w:r>
              <w:rPr>
                <w:rFonts w:eastAsia="仿宋"/>
                <w:color w:val="auto"/>
                <w:kern w:val="0"/>
                <w:szCs w:val="21"/>
                <w:highlight w:val="none"/>
              </w:rPr>
              <w:t>尺量检查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055" w:type="dxa"/>
            <w:vMerge w:val="continue"/>
            <w:vAlign w:val="center"/>
          </w:tcPr>
          <w:p>
            <w:pPr>
              <w:adjustRightInd w:val="0"/>
              <w:jc w:val="center"/>
              <w:rPr>
                <w:rFonts w:eastAsia="仿宋"/>
                <w:color w:val="auto"/>
                <w:kern w:val="0"/>
                <w:szCs w:val="21"/>
                <w:highlight w:val="none"/>
              </w:rPr>
            </w:pPr>
          </w:p>
        </w:tc>
        <w:tc>
          <w:tcPr>
            <w:tcW w:w="4993" w:type="dxa"/>
            <w:tcBorders>
              <w:top w:val="single" w:color="auto" w:sz="4" w:space="0"/>
              <w:bottom w:val="single" w:color="auto" w:sz="4" w:space="0"/>
            </w:tcBorders>
            <w:vAlign w:val="center"/>
          </w:tcPr>
          <w:p>
            <w:pPr>
              <w:adjustRightInd w:val="0"/>
              <w:jc w:val="center"/>
              <w:rPr>
                <w:rFonts w:eastAsia="仿宋"/>
                <w:color w:val="auto"/>
                <w:kern w:val="0"/>
                <w:szCs w:val="21"/>
                <w:highlight w:val="none"/>
              </w:rPr>
            </w:pPr>
            <w:r>
              <w:rPr>
                <w:rFonts w:eastAsia="仿宋"/>
                <w:color w:val="auto"/>
                <w:kern w:val="0"/>
                <w:szCs w:val="21"/>
                <w:highlight w:val="none"/>
              </w:rPr>
              <w:t>外露长度</w:t>
            </w:r>
          </w:p>
        </w:tc>
        <w:tc>
          <w:tcPr>
            <w:tcW w:w="1400" w:type="dxa"/>
            <w:tcBorders>
              <w:top w:val="single" w:color="auto" w:sz="4" w:space="0"/>
              <w:bottom w:val="single" w:color="auto" w:sz="4" w:space="0"/>
            </w:tcBorders>
            <w:vAlign w:val="center"/>
          </w:tcPr>
          <w:p>
            <w:pPr>
              <w:adjustRightInd w:val="0"/>
              <w:jc w:val="center"/>
              <w:rPr>
                <w:rFonts w:eastAsia="仿宋"/>
                <w:color w:val="auto"/>
                <w:kern w:val="0"/>
                <w:szCs w:val="21"/>
                <w:highlight w:val="none"/>
              </w:rPr>
            </w:pPr>
            <w:r>
              <w:rPr>
                <w:rFonts w:eastAsia="仿宋"/>
                <w:color w:val="auto"/>
                <w:kern w:val="0"/>
                <w:szCs w:val="21"/>
                <w:highlight w:val="none"/>
              </w:rPr>
              <w:t>+5，-5</w:t>
            </w:r>
          </w:p>
        </w:tc>
        <w:tc>
          <w:tcPr>
            <w:tcW w:w="1624" w:type="dxa"/>
            <w:vMerge w:val="continue"/>
            <w:vAlign w:val="center"/>
          </w:tcPr>
          <w:p>
            <w:pPr>
              <w:adjustRightInd w:val="0"/>
              <w:jc w:val="center"/>
              <w:rPr>
                <w:rFonts w:eastAsia="仿宋"/>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055" w:type="dxa"/>
            <w:vMerge w:val="continue"/>
            <w:vAlign w:val="center"/>
          </w:tcPr>
          <w:p>
            <w:pPr>
              <w:adjustRightInd w:val="0"/>
              <w:jc w:val="center"/>
              <w:rPr>
                <w:rFonts w:eastAsia="仿宋"/>
                <w:color w:val="auto"/>
                <w:kern w:val="0"/>
                <w:szCs w:val="21"/>
                <w:highlight w:val="none"/>
              </w:rPr>
            </w:pPr>
          </w:p>
        </w:tc>
        <w:tc>
          <w:tcPr>
            <w:tcW w:w="4993" w:type="dxa"/>
            <w:tcBorders>
              <w:top w:val="single" w:color="auto" w:sz="4" w:space="0"/>
              <w:bottom w:val="single" w:color="auto" w:sz="4" w:space="0"/>
            </w:tcBorders>
            <w:vAlign w:val="center"/>
          </w:tcPr>
          <w:p>
            <w:pPr>
              <w:adjustRightInd w:val="0"/>
              <w:jc w:val="center"/>
              <w:rPr>
                <w:rFonts w:eastAsia="仿宋"/>
                <w:color w:val="auto"/>
                <w:kern w:val="0"/>
                <w:szCs w:val="21"/>
                <w:highlight w:val="none"/>
              </w:rPr>
            </w:pPr>
            <w:r>
              <w:rPr>
                <w:rFonts w:hint="eastAsia" w:eastAsia="仿宋"/>
                <w:color w:val="auto"/>
                <w:kern w:val="0"/>
                <w:szCs w:val="21"/>
                <w:highlight w:val="none"/>
              </w:rPr>
              <w:t>间距</w:t>
            </w:r>
          </w:p>
        </w:tc>
        <w:tc>
          <w:tcPr>
            <w:tcW w:w="1400" w:type="dxa"/>
            <w:tcBorders>
              <w:top w:val="single" w:color="auto" w:sz="4" w:space="0"/>
              <w:bottom w:val="single" w:color="auto" w:sz="4" w:space="0"/>
            </w:tcBorders>
            <w:vAlign w:val="center"/>
          </w:tcPr>
          <w:p>
            <w:pPr>
              <w:adjustRightInd w:val="0"/>
              <w:jc w:val="center"/>
              <w:rPr>
                <w:rFonts w:eastAsia="仿宋"/>
                <w:color w:val="auto"/>
                <w:kern w:val="0"/>
                <w:szCs w:val="21"/>
                <w:highlight w:val="none"/>
              </w:rPr>
            </w:pPr>
            <w:r>
              <w:rPr>
                <w:rFonts w:eastAsia="仿宋"/>
                <w:color w:val="auto"/>
                <w:kern w:val="0"/>
                <w:szCs w:val="21"/>
                <w:highlight w:val="none"/>
              </w:rPr>
              <w:t>±10</w:t>
            </w:r>
          </w:p>
        </w:tc>
        <w:tc>
          <w:tcPr>
            <w:tcW w:w="1624" w:type="dxa"/>
            <w:vMerge w:val="continue"/>
            <w:vAlign w:val="center"/>
          </w:tcPr>
          <w:p>
            <w:pPr>
              <w:adjustRightInd w:val="0"/>
              <w:jc w:val="center"/>
              <w:rPr>
                <w:rFonts w:eastAsia="仿宋"/>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055" w:type="dxa"/>
            <w:vMerge w:val="continue"/>
            <w:vAlign w:val="center"/>
          </w:tcPr>
          <w:p>
            <w:pPr>
              <w:adjustRightInd w:val="0"/>
              <w:jc w:val="center"/>
              <w:rPr>
                <w:rFonts w:eastAsia="仿宋"/>
                <w:color w:val="auto"/>
                <w:kern w:val="0"/>
                <w:szCs w:val="21"/>
                <w:highlight w:val="none"/>
              </w:rPr>
            </w:pPr>
          </w:p>
        </w:tc>
        <w:tc>
          <w:tcPr>
            <w:tcW w:w="4993" w:type="dxa"/>
            <w:tcBorders>
              <w:top w:val="single" w:color="auto" w:sz="4" w:space="0"/>
              <w:bottom w:val="single" w:color="auto" w:sz="4" w:space="0"/>
            </w:tcBorders>
            <w:vAlign w:val="center"/>
          </w:tcPr>
          <w:p>
            <w:pPr>
              <w:adjustRightInd w:val="0"/>
              <w:jc w:val="center"/>
              <w:rPr>
                <w:rFonts w:eastAsia="仿宋"/>
                <w:color w:val="auto"/>
                <w:kern w:val="0"/>
                <w:szCs w:val="21"/>
                <w:highlight w:val="none"/>
              </w:rPr>
            </w:pPr>
            <w:r>
              <w:rPr>
                <w:rFonts w:hint="eastAsia" w:eastAsia="仿宋"/>
                <w:color w:val="auto"/>
                <w:kern w:val="0"/>
                <w:szCs w:val="21"/>
                <w:highlight w:val="none"/>
              </w:rPr>
              <w:t>排距</w:t>
            </w:r>
          </w:p>
        </w:tc>
        <w:tc>
          <w:tcPr>
            <w:tcW w:w="1400" w:type="dxa"/>
            <w:tcBorders>
              <w:top w:val="single" w:color="auto" w:sz="4" w:space="0"/>
              <w:bottom w:val="single" w:color="auto" w:sz="4" w:space="0"/>
            </w:tcBorders>
            <w:vAlign w:val="center"/>
          </w:tcPr>
          <w:p>
            <w:pPr>
              <w:adjustRightInd w:val="0"/>
              <w:jc w:val="center"/>
              <w:rPr>
                <w:rFonts w:eastAsia="仿宋"/>
                <w:color w:val="auto"/>
                <w:kern w:val="0"/>
                <w:szCs w:val="21"/>
                <w:highlight w:val="none"/>
              </w:rPr>
            </w:pPr>
            <w:r>
              <w:rPr>
                <w:rFonts w:eastAsia="仿宋"/>
                <w:color w:val="auto"/>
                <w:kern w:val="0"/>
                <w:szCs w:val="21"/>
                <w:highlight w:val="none"/>
              </w:rPr>
              <w:t>±5</w:t>
            </w:r>
          </w:p>
        </w:tc>
        <w:tc>
          <w:tcPr>
            <w:tcW w:w="1624" w:type="dxa"/>
            <w:vMerge w:val="continue"/>
            <w:vAlign w:val="center"/>
          </w:tcPr>
          <w:p>
            <w:pPr>
              <w:adjustRightInd w:val="0"/>
              <w:jc w:val="center"/>
              <w:rPr>
                <w:rFonts w:eastAsia="仿宋"/>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055" w:type="dxa"/>
            <w:vMerge w:val="continue"/>
            <w:vAlign w:val="center"/>
          </w:tcPr>
          <w:p>
            <w:pPr>
              <w:adjustRightInd w:val="0"/>
              <w:jc w:val="center"/>
              <w:rPr>
                <w:rFonts w:eastAsia="仿宋"/>
                <w:color w:val="auto"/>
                <w:kern w:val="0"/>
                <w:szCs w:val="21"/>
                <w:highlight w:val="none"/>
              </w:rPr>
            </w:pPr>
          </w:p>
        </w:tc>
        <w:tc>
          <w:tcPr>
            <w:tcW w:w="4993" w:type="dxa"/>
            <w:tcBorders>
              <w:top w:val="single" w:color="auto" w:sz="4" w:space="0"/>
              <w:bottom w:val="single" w:color="auto" w:sz="4" w:space="0"/>
            </w:tcBorders>
            <w:vAlign w:val="center"/>
          </w:tcPr>
          <w:p>
            <w:pPr>
              <w:adjustRightInd w:val="0"/>
              <w:jc w:val="center"/>
              <w:rPr>
                <w:rFonts w:eastAsia="仿宋"/>
                <w:color w:val="auto"/>
                <w:kern w:val="0"/>
                <w:szCs w:val="21"/>
                <w:highlight w:val="none"/>
              </w:rPr>
            </w:pPr>
            <w:r>
              <w:rPr>
                <w:rFonts w:hint="eastAsia" w:eastAsia="仿宋"/>
                <w:color w:val="auto"/>
                <w:kern w:val="0"/>
                <w:szCs w:val="21"/>
                <w:highlight w:val="none"/>
              </w:rPr>
              <w:t>弯起点位置</w:t>
            </w:r>
          </w:p>
        </w:tc>
        <w:tc>
          <w:tcPr>
            <w:tcW w:w="1400" w:type="dxa"/>
            <w:tcBorders>
              <w:top w:val="single" w:color="auto" w:sz="4" w:space="0"/>
              <w:bottom w:val="single" w:color="auto" w:sz="4" w:space="0"/>
            </w:tcBorders>
            <w:vAlign w:val="center"/>
          </w:tcPr>
          <w:p>
            <w:pPr>
              <w:adjustRightInd w:val="0"/>
              <w:jc w:val="center"/>
              <w:rPr>
                <w:rFonts w:eastAsia="仿宋"/>
                <w:color w:val="auto"/>
                <w:kern w:val="0"/>
                <w:szCs w:val="21"/>
                <w:highlight w:val="none"/>
              </w:rPr>
            </w:pPr>
            <w:r>
              <w:rPr>
                <w:rFonts w:hint="eastAsia" w:eastAsia="仿宋"/>
                <w:color w:val="auto"/>
                <w:kern w:val="0"/>
                <w:szCs w:val="21"/>
                <w:highlight w:val="none"/>
              </w:rPr>
              <w:t>20</w:t>
            </w:r>
          </w:p>
        </w:tc>
        <w:tc>
          <w:tcPr>
            <w:tcW w:w="1624" w:type="dxa"/>
            <w:vMerge w:val="continue"/>
            <w:vAlign w:val="center"/>
          </w:tcPr>
          <w:p>
            <w:pPr>
              <w:adjustRightInd w:val="0"/>
              <w:jc w:val="center"/>
              <w:rPr>
                <w:rFonts w:eastAsia="仿宋"/>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055" w:type="dxa"/>
            <w:tcBorders>
              <w:top w:val="single" w:color="auto" w:sz="4" w:space="0"/>
            </w:tcBorders>
            <w:vAlign w:val="center"/>
          </w:tcPr>
          <w:p>
            <w:pPr>
              <w:adjustRightInd w:val="0"/>
              <w:jc w:val="center"/>
              <w:rPr>
                <w:rFonts w:eastAsia="仿宋"/>
                <w:color w:val="auto"/>
                <w:kern w:val="0"/>
                <w:szCs w:val="21"/>
                <w:highlight w:val="none"/>
              </w:rPr>
            </w:pPr>
            <w:r>
              <w:rPr>
                <w:rFonts w:hint="eastAsia" w:eastAsia="仿宋"/>
                <w:color w:val="auto"/>
                <w:kern w:val="0"/>
                <w:szCs w:val="21"/>
                <w:highlight w:val="none"/>
              </w:rPr>
              <w:t>预埋吊环</w:t>
            </w:r>
          </w:p>
        </w:tc>
        <w:tc>
          <w:tcPr>
            <w:tcW w:w="4993" w:type="dxa"/>
            <w:tcBorders>
              <w:top w:val="single" w:color="auto" w:sz="4" w:space="0"/>
              <w:bottom w:val="single" w:color="auto" w:sz="4" w:space="0"/>
            </w:tcBorders>
            <w:vAlign w:val="center"/>
          </w:tcPr>
          <w:p>
            <w:pPr>
              <w:adjustRightInd w:val="0"/>
              <w:jc w:val="center"/>
              <w:rPr>
                <w:rFonts w:eastAsia="仿宋"/>
                <w:color w:val="auto"/>
                <w:kern w:val="0"/>
                <w:szCs w:val="21"/>
                <w:highlight w:val="none"/>
              </w:rPr>
            </w:pPr>
            <w:r>
              <w:rPr>
                <w:rFonts w:hint="eastAsia" w:eastAsia="仿宋"/>
                <w:color w:val="auto"/>
                <w:kern w:val="0"/>
                <w:szCs w:val="21"/>
                <w:highlight w:val="none"/>
              </w:rPr>
              <w:t>中心线位置</w:t>
            </w:r>
          </w:p>
        </w:tc>
        <w:tc>
          <w:tcPr>
            <w:tcW w:w="1400" w:type="dxa"/>
            <w:tcBorders>
              <w:top w:val="single" w:color="auto" w:sz="4" w:space="0"/>
              <w:bottom w:val="single" w:color="auto" w:sz="4" w:space="0"/>
            </w:tcBorders>
            <w:vAlign w:val="center"/>
          </w:tcPr>
          <w:p>
            <w:pPr>
              <w:adjustRightInd w:val="0"/>
              <w:jc w:val="center"/>
              <w:rPr>
                <w:rFonts w:eastAsia="仿宋"/>
                <w:color w:val="auto"/>
                <w:kern w:val="0"/>
                <w:szCs w:val="21"/>
                <w:highlight w:val="none"/>
              </w:rPr>
            </w:pPr>
            <w:r>
              <w:rPr>
                <w:rFonts w:eastAsia="仿宋"/>
                <w:color w:val="auto"/>
                <w:kern w:val="0"/>
                <w:szCs w:val="21"/>
                <w:highlight w:val="none"/>
              </w:rPr>
              <w:t>10</w:t>
            </w:r>
          </w:p>
        </w:tc>
        <w:tc>
          <w:tcPr>
            <w:tcW w:w="1624" w:type="dxa"/>
            <w:tcBorders>
              <w:top w:val="single" w:color="auto" w:sz="4" w:space="0"/>
            </w:tcBorders>
            <w:vAlign w:val="center"/>
          </w:tcPr>
          <w:p>
            <w:pPr>
              <w:adjustRightInd w:val="0"/>
              <w:jc w:val="center"/>
              <w:rPr>
                <w:rFonts w:eastAsia="仿宋"/>
                <w:color w:val="auto"/>
                <w:kern w:val="0"/>
                <w:szCs w:val="21"/>
                <w:highlight w:val="none"/>
              </w:rPr>
            </w:pPr>
            <w:r>
              <w:rPr>
                <w:rFonts w:eastAsia="仿宋"/>
                <w:color w:val="auto"/>
                <w:kern w:val="0"/>
                <w:szCs w:val="21"/>
                <w:highlight w:val="none"/>
              </w:rPr>
              <w:t>尺量检查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055" w:type="dxa"/>
            <w:vMerge w:val="restart"/>
            <w:tcBorders>
              <w:top w:val="single" w:color="auto" w:sz="4" w:space="0"/>
            </w:tcBorders>
            <w:vAlign w:val="center"/>
          </w:tcPr>
          <w:p>
            <w:pPr>
              <w:adjustRightInd w:val="0"/>
              <w:jc w:val="center"/>
              <w:rPr>
                <w:rFonts w:eastAsia="仿宋"/>
                <w:color w:val="auto"/>
                <w:kern w:val="0"/>
                <w:szCs w:val="21"/>
                <w:highlight w:val="none"/>
              </w:rPr>
            </w:pPr>
            <w:r>
              <w:rPr>
                <w:rFonts w:eastAsia="仿宋"/>
                <w:color w:val="auto"/>
                <w:kern w:val="0"/>
                <w:szCs w:val="21"/>
                <w:highlight w:val="none"/>
              </w:rPr>
              <w:t>键槽</w:t>
            </w:r>
          </w:p>
        </w:tc>
        <w:tc>
          <w:tcPr>
            <w:tcW w:w="4993" w:type="dxa"/>
            <w:tcBorders>
              <w:top w:val="single" w:color="auto" w:sz="4" w:space="0"/>
              <w:bottom w:val="single" w:color="auto" w:sz="4" w:space="0"/>
            </w:tcBorders>
            <w:vAlign w:val="center"/>
          </w:tcPr>
          <w:p>
            <w:pPr>
              <w:adjustRightInd w:val="0"/>
              <w:jc w:val="center"/>
              <w:rPr>
                <w:rFonts w:eastAsia="仿宋"/>
                <w:color w:val="auto"/>
                <w:kern w:val="0"/>
                <w:szCs w:val="21"/>
                <w:highlight w:val="none"/>
              </w:rPr>
            </w:pPr>
            <w:r>
              <w:rPr>
                <w:rFonts w:eastAsia="仿宋"/>
                <w:color w:val="auto"/>
                <w:kern w:val="0"/>
                <w:szCs w:val="21"/>
                <w:highlight w:val="none"/>
              </w:rPr>
              <w:t>中心线位置</w:t>
            </w:r>
          </w:p>
        </w:tc>
        <w:tc>
          <w:tcPr>
            <w:tcW w:w="1400" w:type="dxa"/>
            <w:tcBorders>
              <w:top w:val="single" w:color="auto" w:sz="4" w:space="0"/>
              <w:bottom w:val="single" w:color="auto" w:sz="4" w:space="0"/>
            </w:tcBorders>
            <w:vAlign w:val="center"/>
          </w:tcPr>
          <w:p>
            <w:pPr>
              <w:adjustRightInd w:val="0"/>
              <w:jc w:val="center"/>
              <w:rPr>
                <w:rFonts w:eastAsia="仿宋"/>
                <w:color w:val="auto"/>
                <w:kern w:val="0"/>
                <w:szCs w:val="21"/>
                <w:highlight w:val="none"/>
              </w:rPr>
            </w:pPr>
            <w:r>
              <w:rPr>
                <w:rFonts w:eastAsia="仿宋"/>
                <w:color w:val="auto"/>
                <w:kern w:val="0"/>
                <w:szCs w:val="21"/>
                <w:highlight w:val="none"/>
              </w:rPr>
              <w:t>5</w:t>
            </w:r>
          </w:p>
        </w:tc>
        <w:tc>
          <w:tcPr>
            <w:tcW w:w="1624" w:type="dxa"/>
            <w:vMerge w:val="restart"/>
            <w:tcBorders>
              <w:top w:val="single" w:color="auto" w:sz="4" w:space="0"/>
            </w:tcBorders>
            <w:vAlign w:val="center"/>
          </w:tcPr>
          <w:p>
            <w:pPr>
              <w:adjustRightInd w:val="0"/>
              <w:jc w:val="center"/>
              <w:rPr>
                <w:rFonts w:eastAsia="仿宋"/>
                <w:color w:val="auto"/>
                <w:kern w:val="0"/>
                <w:szCs w:val="21"/>
                <w:highlight w:val="none"/>
              </w:rPr>
            </w:pPr>
            <w:r>
              <w:rPr>
                <w:rFonts w:eastAsia="仿宋"/>
                <w:color w:val="auto"/>
                <w:kern w:val="0"/>
                <w:szCs w:val="21"/>
                <w:highlight w:val="none"/>
              </w:rPr>
              <w:t>尺量检查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055" w:type="dxa"/>
            <w:vMerge w:val="continue"/>
            <w:tcBorders>
              <w:bottom w:val="single" w:color="auto" w:sz="12" w:space="0"/>
            </w:tcBorders>
            <w:vAlign w:val="center"/>
          </w:tcPr>
          <w:p>
            <w:pPr>
              <w:adjustRightInd w:val="0"/>
              <w:jc w:val="center"/>
              <w:rPr>
                <w:rFonts w:eastAsia="仿宋"/>
                <w:color w:val="auto"/>
                <w:kern w:val="0"/>
                <w:szCs w:val="21"/>
                <w:highlight w:val="none"/>
              </w:rPr>
            </w:pPr>
          </w:p>
        </w:tc>
        <w:tc>
          <w:tcPr>
            <w:tcW w:w="4993" w:type="dxa"/>
            <w:tcBorders>
              <w:top w:val="single" w:color="auto" w:sz="4" w:space="0"/>
              <w:bottom w:val="single" w:color="auto" w:sz="12" w:space="0"/>
            </w:tcBorders>
            <w:vAlign w:val="center"/>
          </w:tcPr>
          <w:p>
            <w:pPr>
              <w:adjustRightInd w:val="0"/>
              <w:jc w:val="center"/>
              <w:rPr>
                <w:rFonts w:eastAsia="仿宋"/>
                <w:color w:val="auto"/>
                <w:kern w:val="0"/>
                <w:szCs w:val="21"/>
                <w:highlight w:val="none"/>
              </w:rPr>
            </w:pPr>
            <w:r>
              <w:rPr>
                <w:rFonts w:eastAsia="仿宋"/>
                <w:color w:val="auto"/>
                <w:kern w:val="0"/>
                <w:szCs w:val="21"/>
                <w:highlight w:val="none"/>
              </w:rPr>
              <w:t>长度、宽度、深度</w:t>
            </w:r>
          </w:p>
        </w:tc>
        <w:tc>
          <w:tcPr>
            <w:tcW w:w="1400" w:type="dxa"/>
            <w:tcBorders>
              <w:top w:val="single" w:color="auto" w:sz="4" w:space="0"/>
              <w:bottom w:val="single" w:color="auto" w:sz="12" w:space="0"/>
            </w:tcBorders>
            <w:vAlign w:val="center"/>
          </w:tcPr>
          <w:p>
            <w:pPr>
              <w:adjustRightInd w:val="0"/>
              <w:jc w:val="center"/>
              <w:rPr>
                <w:rFonts w:eastAsia="仿宋"/>
                <w:color w:val="auto"/>
                <w:kern w:val="0"/>
                <w:szCs w:val="21"/>
                <w:highlight w:val="none"/>
              </w:rPr>
            </w:pPr>
            <w:r>
              <w:rPr>
                <w:rFonts w:eastAsia="仿宋"/>
                <w:color w:val="auto"/>
                <w:kern w:val="0"/>
                <w:szCs w:val="21"/>
                <w:highlight w:val="none"/>
              </w:rPr>
              <w:t>±5</w:t>
            </w:r>
          </w:p>
        </w:tc>
        <w:tc>
          <w:tcPr>
            <w:tcW w:w="1624" w:type="dxa"/>
            <w:vMerge w:val="continue"/>
            <w:tcBorders>
              <w:bottom w:val="single" w:color="auto" w:sz="12" w:space="0"/>
            </w:tcBorders>
            <w:vAlign w:val="center"/>
          </w:tcPr>
          <w:p>
            <w:pPr>
              <w:adjustRightInd w:val="0"/>
              <w:jc w:val="center"/>
              <w:rPr>
                <w:rFonts w:eastAsia="仿宋"/>
                <w:color w:val="auto"/>
                <w:kern w:val="0"/>
                <w:szCs w:val="21"/>
                <w:highlight w:val="none"/>
              </w:rPr>
            </w:pPr>
          </w:p>
        </w:tc>
      </w:tr>
    </w:tbl>
    <w:p>
      <w:pPr>
        <w:pStyle w:val="56"/>
        <w:ind w:firstLine="380" w:firstLineChars="200"/>
        <w:rPr>
          <w:rFonts w:eastAsia="仿宋"/>
          <w:color w:val="auto"/>
          <w:sz w:val="18"/>
          <w:szCs w:val="28"/>
          <w:highlight w:val="none"/>
        </w:rPr>
      </w:pPr>
      <w:r>
        <w:rPr>
          <w:rFonts w:eastAsia="仿宋"/>
          <w:color w:val="auto"/>
          <w:sz w:val="18"/>
          <w:szCs w:val="28"/>
          <w:highlight w:val="none"/>
        </w:rPr>
        <w:t>注：检查中心线、螺栓和孔道位置偏差时，应沿纵横两个方向量测，并取其中偏差较大值。</w:t>
      </w:r>
    </w:p>
    <w:p>
      <w:pPr>
        <w:numPr>
          <w:ilvl w:val="0"/>
          <w:numId w:val="27"/>
        </w:numPr>
        <w:rPr>
          <w:color w:val="auto"/>
          <w:highlight w:val="none"/>
        </w:rPr>
      </w:pPr>
      <w:r>
        <w:rPr>
          <w:rFonts w:hint="eastAsia"/>
          <w:color w:val="auto"/>
          <w:highlight w:val="none"/>
        </w:rPr>
        <w:t>模块单元尺寸偏差满足要求后，可进行模块单元装修作业，模块单元装饰构件的尺寸偏差和检验方法应符合表8.5.7的规定。</w:t>
      </w:r>
    </w:p>
    <w:p>
      <w:pPr>
        <w:pStyle w:val="54"/>
        <w:rPr>
          <w:rFonts w:eastAsia="仿宋"/>
          <w:b/>
          <w:bCs/>
          <w:color w:val="auto"/>
          <w:sz w:val="21"/>
          <w:highlight w:val="none"/>
        </w:rPr>
      </w:pPr>
      <w:r>
        <w:rPr>
          <w:rFonts w:eastAsia="仿宋"/>
          <w:b/>
          <w:bCs/>
          <w:color w:val="auto"/>
          <w:sz w:val="21"/>
          <w:highlight w:val="none"/>
        </w:rPr>
        <w:t>表8</w:t>
      </w:r>
      <w:r>
        <w:rPr>
          <w:rFonts w:hint="eastAsia" w:ascii="仿宋" w:hAnsi="仿宋" w:eastAsia="仿宋" w:cs="仿宋"/>
          <w:b/>
          <w:bCs/>
          <w:color w:val="auto"/>
          <w:sz w:val="21"/>
          <w:highlight w:val="none"/>
        </w:rPr>
        <w:t>.</w:t>
      </w:r>
      <w:r>
        <w:rPr>
          <w:rFonts w:eastAsia="仿宋"/>
          <w:b/>
          <w:bCs/>
          <w:color w:val="auto"/>
          <w:sz w:val="21"/>
          <w:highlight w:val="none"/>
        </w:rPr>
        <w:t>5</w:t>
      </w:r>
      <w:r>
        <w:rPr>
          <w:rFonts w:hint="eastAsia" w:ascii="仿宋" w:hAnsi="仿宋" w:eastAsia="仿宋" w:cs="仿宋"/>
          <w:b/>
          <w:bCs/>
          <w:color w:val="auto"/>
          <w:sz w:val="21"/>
          <w:highlight w:val="none"/>
        </w:rPr>
        <w:t>.</w:t>
      </w:r>
      <w:r>
        <w:rPr>
          <w:rFonts w:hint="eastAsia" w:eastAsia="仿宋"/>
          <w:b/>
          <w:bCs/>
          <w:color w:val="auto"/>
          <w:sz w:val="21"/>
          <w:highlight w:val="none"/>
        </w:rPr>
        <w:t>7</w:t>
      </w:r>
      <w:r>
        <w:rPr>
          <w:rFonts w:eastAsia="仿宋"/>
          <w:b/>
          <w:bCs/>
          <w:color w:val="auto"/>
          <w:sz w:val="21"/>
          <w:highlight w:val="none"/>
        </w:rPr>
        <w:t xml:space="preserve">  模块</w:t>
      </w:r>
      <w:r>
        <w:rPr>
          <w:rFonts w:hint="eastAsia" w:eastAsia="仿宋"/>
          <w:b/>
          <w:bCs/>
          <w:color w:val="auto"/>
          <w:sz w:val="21"/>
          <w:highlight w:val="none"/>
        </w:rPr>
        <w:t>单元</w:t>
      </w:r>
      <w:r>
        <w:rPr>
          <w:rFonts w:eastAsia="仿宋"/>
          <w:b/>
          <w:bCs/>
          <w:color w:val="auto"/>
          <w:sz w:val="21"/>
          <w:highlight w:val="none"/>
        </w:rPr>
        <w:t>装饰构件尺寸允许偏差及检验方法</w:t>
      </w:r>
    </w:p>
    <w:tbl>
      <w:tblPr>
        <w:tblStyle w:val="24"/>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1845"/>
        <w:gridCol w:w="2108"/>
        <w:gridCol w:w="1778"/>
        <w:gridCol w:w="25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769"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项次</w:t>
            </w:r>
          </w:p>
        </w:tc>
        <w:tc>
          <w:tcPr>
            <w:tcW w:w="1808"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装饰种类</w:t>
            </w:r>
          </w:p>
        </w:tc>
        <w:tc>
          <w:tcPr>
            <w:tcW w:w="2066"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检查项目</w:t>
            </w:r>
          </w:p>
        </w:tc>
        <w:tc>
          <w:tcPr>
            <w:tcW w:w="1742"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允许偏差</w:t>
            </w:r>
          </w:p>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(mm)</w:t>
            </w:r>
          </w:p>
        </w:tc>
        <w:tc>
          <w:tcPr>
            <w:tcW w:w="2505"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 xml:space="preserve">检验方法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769"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1</w:t>
            </w:r>
          </w:p>
        </w:tc>
        <w:tc>
          <w:tcPr>
            <w:tcW w:w="1808"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通用</w:t>
            </w:r>
          </w:p>
        </w:tc>
        <w:tc>
          <w:tcPr>
            <w:tcW w:w="2066"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表面平整度</w:t>
            </w:r>
          </w:p>
        </w:tc>
        <w:tc>
          <w:tcPr>
            <w:tcW w:w="1742"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2</w:t>
            </w:r>
          </w:p>
        </w:tc>
        <w:tc>
          <w:tcPr>
            <w:tcW w:w="2505"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2m靠尺或塞尺检查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769"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2</w:t>
            </w:r>
          </w:p>
        </w:tc>
        <w:tc>
          <w:tcPr>
            <w:tcW w:w="1808" w:type="dxa"/>
            <w:vMerge w:val="restart"/>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面砖、石材</w:t>
            </w:r>
          </w:p>
        </w:tc>
        <w:tc>
          <w:tcPr>
            <w:tcW w:w="2066"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阳角方正</w:t>
            </w:r>
          </w:p>
        </w:tc>
        <w:tc>
          <w:tcPr>
            <w:tcW w:w="1742"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2</w:t>
            </w:r>
          </w:p>
        </w:tc>
        <w:tc>
          <w:tcPr>
            <w:tcW w:w="2505"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用托线板检查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769"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3</w:t>
            </w:r>
          </w:p>
        </w:tc>
        <w:tc>
          <w:tcPr>
            <w:tcW w:w="1808" w:type="dxa"/>
            <w:vMerge w:val="continue"/>
            <w:vAlign w:val="center"/>
          </w:tcPr>
          <w:p>
            <w:pPr>
              <w:autoSpaceDE w:val="0"/>
              <w:autoSpaceDN w:val="0"/>
              <w:adjustRightInd w:val="0"/>
              <w:jc w:val="center"/>
              <w:rPr>
                <w:rFonts w:eastAsia="仿宋"/>
                <w:color w:val="auto"/>
                <w:kern w:val="0"/>
                <w:szCs w:val="21"/>
                <w:highlight w:val="none"/>
              </w:rPr>
            </w:pPr>
          </w:p>
        </w:tc>
        <w:tc>
          <w:tcPr>
            <w:tcW w:w="2066"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上口平直</w:t>
            </w:r>
          </w:p>
        </w:tc>
        <w:tc>
          <w:tcPr>
            <w:tcW w:w="1742"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2</w:t>
            </w:r>
          </w:p>
        </w:tc>
        <w:tc>
          <w:tcPr>
            <w:tcW w:w="2505"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拉通线用钢尺检查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769"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4</w:t>
            </w:r>
          </w:p>
        </w:tc>
        <w:tc>
          <w:tcPr>
            <w:tcW w:w="1808" w:type="dxa"/>
            <w:vMerge w:val="continue"/>
            <w:vAlign w:val="center"/>
          </w:tcPr>
          <w:p>
            <w:pPr>
              <w:autoSpaceDE w:val="0"/>
              <w:autoSpaceDN w:val="0"/>
              <w:adjustRightInd w:val="0"/>
              <w:jc w:val="center"/>
              <w:rPr>
                <w:rFonts w:eastAsia="仿宋"/>
                <w:color w:val="auto"/>
                <w:kern w:val="0"/>
                <w:szCs w:val="21"/>
                <w:highlight w:val="none"/>
              </w:rPr>
            </w:pPr>
          </w:p>
        </w:tc>
        <w:tc>
          <w:tcPr>
            <w:tcW w:w="2066"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接缝平直</w:t>
            </w:r>
          </w:p>
        </w:tc>
        <w:tc>
          <w:tcPr>
            <w:tcW w:w="1742"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3</w:t>
            </w:r>
          </w:p>
        </w:tc>
        <w:tc>
          <w:tcPr>
            <w:tcW w:w="2505"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用钢尺或塞尺检查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769"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5</w:t>
            </w:r>
          </w:p>
        </w:tc>
        <w:tc>
          <w:tcPr>
            <w:tcW w:w="1808" w:type="dxa"/>
            <w:vMerge w:val="continue"/>
            <w:vAlign w:val="center"/>
          </w:tcPr>
          <w:p>
            <w:pPr>
              <w:autoSpaceDE w:val="0"/>
              <w:autoSpaceDN w:val="0"/>
              <w:adjustRightInd w:val="0"/>
              <w:jc w:val="center"/>
              <w:rPr>
                <w:rFonts w:eastAsia="仿宋"/>
                <w:color w:val="auto"/>
                <w:kern w:val="0"/>
                <w:szCs w:val="21"/>
                <w:highlight w:val="none"/>
              </w:rPr>
            </w:pPr>
          </w:p>
        </w:tc>
        <w:tc>
          <w:tcPr>
            <w:tcW w:w="2066"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接缝深度</w:t>
            </w:r>
          </w:p>
        </w:tc>
        <w:tc>
          <w:tcPr>
            <w:tcW w:w="1742"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1</w:t>
            </w:r>
          </w:p>
        </w:tc>
        <w:tc>
          <w:tcPr>
            <w:tcW w:w="2505"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用钢尺或塞尺检查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769"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6</w:t>
            </w:r>
          </w:p>
        </w:tc>
        <w:tc>
          <w:tcPr>
            <w:tcW w:w="1808" w:type="dxa"/>
            <w:vMerge w:val="continue"/>
            <w:vAlign w:val="center"/>
          </w:tcPr>
          <w:p>
            <w:pPr>
              <w:autoSpaceDE w:val="0"/>
              <w:autoSpaceDN w:val="0"/>
              <w:adjustRightInd w:val="0"/>
              <w:jc w:val="center"/>
              <w:rPr>
                <w:rFonts w:eastAsia="仿宋"/>
                <w:color w:val="auto"/>
                <w:kern w:val="0"/>
                <w:szCs w:val="21"/>
                <w:highlight w:val="none"/>
              </w:rPr>
            </w:pPr>
          </w:p>
        </w:tc>
        <w:tc>
          <w:tcPr>
            <w:tcW w:w="2066"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接缝宽度</w:t>
            </w:r>
          </w:p>
        </w:tc>
        <w:tc>
          <w:tcPr>
            <w:tcW w:w="1742"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1</w:t>
            </w:r>
          </w:p>
        </w:tc>
        <w:tc>
          <w:tcPr>
            <w:tcW w:w="2505" w:type="dxa"/>
            <w:vAlign w:val="center"/>
          </w:tcPr>
          <w:p>
            <w:pPr>
              <w:autoSpaceDE w:val="0"/>
              <w:autoSpaceDN w:val="0"/>
              <w:adjustRightInd w:val="0"/>
              <w:jc w:val="center"/>
              <w:rPr>
                <w:rFonts w:eastAsia="仿宋"/>
                <w:color w:val="auto"/>
                <w:kern w:val="0"/>
                <w:szCs w:val="21"/>
                <w:highlight w:val="none"/>
              </w:rPr>
            </w:pPr>
            <w:r>
              <w:rPr>
                <w:rFonts w:eastAsia="仿宋"/>
                <w:color w:val="auto"/>
                <w:kern w:val="0"/>
                <w:szCs w:val="21"/>
                <w:highlight w:val="none"/>
              </w:rPr>
              <w:t>用钢尺检查</w:t>
            </w:r>
          </w:p>
        </w:tc>
      </w:tr>
    </w:tbl>
    <w:p>
      <w:pPr>
        <w:numPr>
          <w:ilvl w:val="0"/>
          <w:numId w:val="27"/>
        </w:numPr>
        <w:rPr>
          <w:color w:val="auto"/>
          <w:highlight w:val="none"/>
        </w:rPr>
      </w:pPr>
      <w:r>
        <w:rPr>
          <w:rFonts w:hint="eastAsia"/>
          <w:color w:val="auto"/>
          <w:highlight w:val="none"/>
        </w:rPr>
        <w:t>模块单元的预埋件、插筋、对拉孔、设备孔、预埋桁架筋的规格、数量和间距应满足设计要求。</w:t>
      </w:r>
    </w:p>
    <w:p>
      <w:pPr>
        <w:ind w:firstLine="440" w:firstLineChars="200"/>
        <w:rPr>
          <w:color w:val="auto"/>
          <w:highlight w:val="none"/>
        </w:rPr>
      </w:pPr>
      <w:r>
        <w:rPr>
          <w:rFonts w:hint="eastAsia"/>
          <w:color w:val="auto"/>
          <w:szCs w:val="24"/>
          <w:highlight w:val="none"/>
        </w:rPr>
        <w:t>检查数量：全数检验。</w:t>
      </w:r>
    </w:p>
    <w:p>
      <w:pPr>
        <w:ind w:firstLine="440" w:firstLineChars="200"/>
        <w:rPr>
          <w:color w:val="auto"/>
          <w:highlight w:val="none"/>
        </w:rPr>
      </w:pPr>
      <w:r>
        <w:rPr>
          <w:rFonts w:hint="eastAsia"/>
          <w:color w:val="auto"/>
          <w:szCs w:val="24"/>
          <w:highlight w:val="none"/>
        </w:rPr>
        <w:t>检验方法：观察和量测。</w:t>
      </w:r>
    </w:p>
    <w:p>
      <w:pPr>
        <w:numPr>
          <w:ilvl w:val="0"/>
          <w:numId w:val="27"/>
        </w:numPr>
        <w:rPr>
          <w:color w:val="auto"/>
          <w:highlight w:val="none"/>
        </w:rPr>
      </w:pPr>
      <w:r>
        <w:rPr>
          <w:rFonts w:hint="eastAsia"/>
          <w:color w:val="auto"/>
          <w:highlight w:val="none"/>
        </w:rPr>
        <w:t>模块单元的粗糙面或键槽成型质量应满足设计要求。</w:t>
      </w:r>
    </w:p>
    <w:p>
      <w:pPr>
        <w:ind w:firstLine="440" w:firstLineChars="200"/>
        <w:rPr>
          <w:color w:val="auto"/>
          <w:highlight w:val="none"/>
        </w:rPr>
      </w:pPr>
      <w:r>
        <w:rPr>
          <w:rFonts w:hint="eastAsia"/>
          <w:color w:val="auto"/>
          <w:szCs w:val="24"/>
          <w:highlight w:val="none"/>
        </w:rPr>
        <w:t>检查数量：全数检验。</w:t>
      </w:r>
    </w:p>
    <w:p>
      <w:pPr>
        <w:ind w:firstLine="440" w:firstLineChars="200"/>
        <w:rPr>
          <w:color w:val="auto"/>
          <w:highlight w:val="none"/>
        </w:rPr>
      </w:pPr>
      <w:r>
        <w:rPr>
          <w:rFonts w:hint="eastAsia"/>
          <w:color w:val="auto"/>
          <w:szCs w:val="24"/>
          <w:highlight w:val="none"/>
        </w:rPr>
        <w:t>检验方法：观察和量测。</w:t>
      </w:r>
    </w:p>
    <w:p>
      <w:pPr>
        <w:numPr>
          <w:ilvl w:val="0"/>
          <w:numId w:val="27"/>
        </w:numPr>
        <w:rPr>
          <w:color w:val="auto"/>
          <w:highlight w:val="none"/>
        </w:rPr>
      </w:pPr>
      <w:r>
        <w:rPr>
          <w:rFonts w:hint="eastAsia"/>
          <w:color w:val="auto"/>
          <w:highlight w:val="none"/>
        </w:rPr>
        <w:t>模块单元的装修质量检验应包括墙面、地面、天花、机电和门窗等内容，并宜根据附录A.5中样式出示模块单元装饰与装修质量验收记录表。</w:t>
      </w:r>
    </w:p>
    <w:p>
      <w:pPr>
        <w:ind w:firstLine="440" w:firstLineChars="200"/>
        <w:rPr>
          <w:color w:val="auto"/>
          <w:highlight w:val="none"/>
        </w:rPr>
      </w:pPr>
      <w:r>
        <w:rPr>
          <w:rFonts w:hint="eastAsia"/>
          <w:color w:val="auto"/>
          <w:highlight w:val="none"/>
        </w:rPr>
        <w:t>检查数量：全数检查。</w:t>
      </w:r>
    </w:p>
    <w:p>
      <w:pPr>
        <w:ind w:firstLine="440" w:firstLineChars="200"/>
        <w:rPr>
          <w:color w:val="auto"/>
          <w:highlight w:val="none"/>
        </w:rPr>
      </w:pPr>
      <w:r>
        <w:rPr>
          <w:rFonts w:hint="eastAsia"/>
          <w:color w:val="auto"/>
          <w:highlight w:val="none"/>
        </w:rPr>
        <w:t>检验方法：附表A.5中的检验方法。</w:t>
      </w:r>
    </w:p>
    <w:p>
      <w:pPr>
        <w:numPr>
          <w:ilvl w:val="0"/>
          <w:numId w:val="27"/>
        </w:numPr>
        <w:rPr>
          <w:color w:val="auto"/>
          <w:highlight w:val="none"/>
        </w:rPr>
      </w:pPr>
      <w:r>
        <w:rPr>
          <w:rFonts w:hint="eastAsia"/>
          <w:color w:val="auto"/>
          <w:highlight w:val="none"/>
        </w:rPr>
        <w:t>内、外面砖或石材饰面与模块单元混凝土的粘结强度应符合现行行业标准《建筑工程饰面砖粘结强度检验标准》JGJ/T 110和《外墙饰面砖工程施工及验收规程》JGJ 126的有关规定。</w:t>
      </w:r>
    </w:p>
    <w:p>
      <w:pPr>
        <w:ind w:firstLine="440" w:firstLineChars="200"/>
        <w:rPr>
          <w:color w:val="auto"/>
          <w:szCs w:val="24"/>
          <w:highlight w:val="none"/>
        </w:rPr>
      </w:pPr>
      <w:r>
        <w:rPr>
          <w:rFonts w:hint="eastAsia"/>
          <w:color w:val="auto"/>
          <w:szCs w:val="24"/>
          <w:highlight w:val="none"/>
        </w:rPr>
        <w:t>检查数量：按同一工程、同一工艺分批抽样检验。</w:t>
      </w:r>
    </w:p>
    <w:p>
      <w:pPr>
        <w:ind w:firstLine="440" w:firstLineChars="200"/>
        <w:rPr>
          <w:color w:val="auto"/>
          <w:szCs w:val="24"/>
          <w:highlight w:val="none"/>
        </w:rPr>
      </w:pPr>
      <w:r>
        <w:rPr>
          <w:rFonts w:hint="eastAsia"/>
          <w:color w:val="auto"/>
          <w:szCs w:val="24"/>
          <w:highlight w:val="none"/>
        </w:rPr>
        <w:t>检验方法：检查试验报告单。</w:t>
      </w:r>
    </w:p>
    <w:p>
      <w:pPr>
        <w:numPr>
          <w:ilvl w:val="0"/>
          <w:numId w:val="27"/>
        </w:numPr>
        <w:rPr>
          <w:color w:val="auto"/>
          <w:highlight w:val="none"/>
        </w:rPr>
      </w:pPr>
      <w:r>
        <w:rPr>
          <w:rFonts w:hint="eastAsia"/>
          <w:color w:val="auto"/>
          <w:highlight w:val="none"/>
        </w:rPr>
        <w:t>模块单元出厂前应进行吊装测试。</w:t>
      </w:r>
    </w:p>
    <w:p>
      <w:pPr>
        <w:ind w:firstLine="440" w:firstLineChars="200"/>
        <w:rPr>
          <w:color w:val="auto"/>
          <w:highlight w:val="none"/>
        </w:rPr>
      </w:pPr>
      <w:r>
        <w:rPr>
          <w:rFonts w:hint="eastAsia"/>
          <w:color w:val="auto"/>
          <w:highlight w:val="none"/>
        </w:rPr>
        <w:t>检查数量：同种类型的模块单元至少检测1个。</w:t>
      </w:r>
    </w:p>
    <w:p>
      <w:pPr>
        <w:ind w:firstLine="440" w:firstLineChars="200"/>
        <w:rPr>
          <w:color w:val="auto"/>
          <w:highlight w:val="none"/>
        </w:rPr>
      </w:pPr>
      <w:r>
        <w:rPr>
          <w:rFonts w:hint="eastAsia"/>
          <w:color w:val="auto"/>
          <w:highlight w:val="none"/>
        </w:rPr>
        <w:t>检验方法：吊装测试方法应符合本导则附录B的规定。</w:t>
      </w:r>
    </w:p>
    <w:p>
      <w:pPr>
        <w:numPr>
          <w:ilvl w:val="0"/>
          <w:numId w:val="27"/>
        </w:numPr>
        <w:rPr>
          <w:color w:val="auto"/>
          <w:highlight w:val="none"/>
        </w:rPr>
      </w:pPr>
      <w:r>
        <w:rPr>
          <w:rFonts w:hint="eastAsia"/>
          <w:color w:val="auto"/>
          <w:highlight w:val="none"/>
        </w:rPr>
        <w:t xml:space="preserve"> 卫浴及厨房模块单元应进行蓄水试验，其排水坡度、通风装置、安装及检修用管道空间、地面防水层均应符合设计要求和本导则的有关规定。</w:t>
      </w:r>
    </w:p>
    <w:p>
      <w:pPr>
        <w:ind w:firstLine="440" w:firstLineChars="200"/>
        <w:rPr>
          <w:color w:val="auto"/>
          <w:highlight w:val="none"/>
        </w:rPr>
      </w:pPr>
      <w:r>
        <w:rPr>
          <w:rFonts w:hint="eastAsia"/>
          <w:color w:val="auto"/>
          <w:highlight w:val="none"/>
        </w:rPr>
        <w:t>检查数量：同种类型的模块单元每次抽检数量不应少于该品种数量的</w:t>
      </w:r>
      <w:r>
        <w:rPr>
          <w:color w:val="auto"/>
          <w:highlight w:val="none"/>
        </w:rPr>
        <w:t>10</w:t>
      </w:r>
      <w:r>
        <w:rPr>
          <w:rFonts w:hint="eastAsia"/>
          <w:color w:val="auto"/>
          <w:highlight w:val="none"/>
        </w:rPr>
        <w:t>％且不少于</w:t>
      </w:r>
      <w:r>
        <w:rPr>
          <w:color w:val="auto"/>
          <w:highlight w:val="none"/>
        </w:rPr>
        <w:t>5</w:t>
      </w:r>
      <w:r>
        <w:rPr>
          <w:rFonts w:hint="eastAsia"/>
          <w:color w:val="auto"/>
          <w:highlight w:val="none"/>
        </w:rPr>
        <w:t>件。</w:t>
      </w:r>
    </w:p>
    <w:p>
      <w:pPr>
        <w:ind w:firstLine="440" w:firstLineChars="200"/>
        <w:rPr>
          <w:color w:val="auto"/>
          <w:highlight w:val="none"/>
        </w:rPr>
      </w:pPr>
      <w:r>
        <w:rPr>
          <w:rFonts w:hint="eastAsia"/>
          <w:color w:val="auto"/>
          <w:highlight w:val="none"/>
        </w:rPr>
        <w:t>检验方法：蓄水试验前，应封堵试验区域内的排水口，蓄水时间不应小于2</w:t>
      </w:r>
      <w:r>
        <w:rPr>
          <w:color w:val="auto"/>
          <w:highlight w:val="none"/>
        </w:rPr>
        <w:t>4</w:t>
      </w:r>
      <w:r>
        <w:rPr>
          <w:rFonts w:hint="eastAsia"/>
          <w:color w:val="auto"/>
          <w:highlight w:val="none"/>
        </w:rPr>
        <w:t>h，蓄水深度最浅处不应小于</w:t>
      </w:r>
      <w:r>
        <w:rPr>
          <w:color w:val="auto"/>
          <w:highlight w:val="none"/>
        </w:rPr>
        <w:t>25</w:t>
      </w:r>
      <w:r>
        <w:rPr>
          <w:rFonts w:hint="eastAsia"/>
          <w:color w:val="auto"/>
          <w:highlight w:val="none"/>
        </w:rPr>
        <w:t>mm。</w:t>
      </w:r>
    </w:p>
    <w:p>
      <w:pPr>
        <w:numPr>
          <w:ilvl w:val="0"/>
          <w:numId w:val="27"/>
        </w:numPr>
        <w:rPr>
          <w:color w:val="auto"/>
          <w:highlight w:val="none"/>
        </w:rPr>
      </w:pPr>
      <w:r>
        <w:rPr>
          <w:rFonts w:hint="eastAsia"/>
          <w:color w:val="auto"/>
          <w:highlight w:val="none"/>
        </w:rPr>
        <w:t>模块单元出厂前应对有防水要求的外墙、外窗、门进行淋水试验。</w:t>
      </w:r>
    </w:p>
    <w:p>
      <w:pPr>
        <w:ind w:firstLine="440" w:firstLineChars="200"/>
        <w:rPr>
          <w:color w:val="auto"/>
          <w:highlight w:val="none"/>
        </w:rPr>
      </w:pPr>
      <w:r>
        <w:rPr>
          <w:rFonts w:hint="eastAsia"/>
          <w:color w:val="auto"/>
          <w:highlight w:val="none"/>
        </w:rPr>
        <w:t>检查数量：全数检查</w:t>
      </w:r>
    </w:p>
    <w:p>
      <w:pPr>
        <w:ind w:firstLine="440" w:firstLineChars="200"/>
        <w:rPr>
          <w:color w:val="auto"/>
          <w:highlight w:val="none"/>
        </w:rPr>
      </w:pPr>
      <w:r>
        <w:rPr>
          <w:rFonts w:hint="eastAsia"/>
          <w:color w:val="auto"/>
          <w:highlight w:val="none"/>
        </w:rPr>
        <w:t>检验方法：试验前应关闭窗户，封闭各种预留洞口，采用淋水管线对模块单元自上而下淋水，淋水水压不应低于</w:t>
      </w:r>
      <w:r>
        <w:rPr>
          <w:color w:val="auto"/>
          <w:highlight w:val="none"/>
        </w:rPr>
        <w:t>0.3MPa</w:t>
      </w:r>
      <w:r>
        <w:rPr>
          <w:rFonts w:hint="eastAsia"/>
          <w:color w:val="auto"/>
          <w:highlight w:val="none"/>
        </w:rPr>
        <w:t>，并应能在待测区域表面形成均匀水幕，检查背水面渗漏情况。</w:t>
      </w:r>
    </w:p>
    <w:p>
      <w:pPr>
        <w:numPr>
          <w:ilvl w:val="0"/>
          <w:numId w:val="27"/>
        </w:numPr>
        <w:rPr>
          <w:color w:val="auto"/>
          <w:highlight w:val="none"/>
        </w:rPr>
      </w:pPr>
      <w:r>
        <w:rPr>
          <w:rFonts w:hint="eastAsia"/>
          <w:color w:val="auto"/>
          <w:highlight w:val="none"/>
        </w:rPr>
        <w:t>模块单元的使用功能检验应包括模块单元的通水、通电测试。</w:t>
      </w:r>
    </w:p>
    <w:p>
      <w:pPr>
        <w:ind w:firstLine="440" w:firstLineChars="200"/>
        <w:rPr>
          <w:color w:val="auto"/>
          <w:highlight w:val="none"/>
        </w:rPr>
      </w:pPr>
      <w:r>
        <w:rPr>
          <w:rFonts w:hint="eastAsia"/>
          <w:color w:val="auto"/>
          <w:highlight w:val="none"/>
        </w:rPr>
        <w:t>检查数量：全数检查</w:t>
      </w:r>
    </w:p>
    <w:p>
      <w:pPr>
        <w:ind w:firstLine="440" w:firstLineChars="200"/>
        <w:rPr>
          <w:color w:val="auto"/>
          <w:highlight w:val="none"/>
        </w:rPr>
      </w:pPr>
      <w:r>
        <w:rPr>
          <w:rFonts w:hint="eastAsia"/>
          <w:color w:val="auto"/>
          <w:highlight w:val="none"/>
        </w:rPr>
        <w:t>检验方法：各种承压管道系统和设备应做水压试验，非承压管道系统和设备应做灌水试验，照明系统和其他电气设备应做通电试运行。</w:t>
      </w:r>
    </w:p>
    <w:p>
      <w:pPr>
        <w:numPr>
          <w:ilvl w:val="0"/>
          <w:numId w:val="27"/>
        </w:numPr>
        <w:rPr>
          <w:color w:val="auto"/>
          <w:highlight w:val="none"/>
        </w:rPr>
      </w:pPr>
      <w:r>
        <w:rPr>
          <w:rFonts w:hint="eastAsia"/>
          <w:color w:val="auto"/>
          <w:highlight w:val="none"/>
        </w:rPr>
        <w:t>模块单元的资料应与产品制造同步形成、收集和整理，制造厂家归档资料宜包括下列内容：</w:t>
      </w:r>
    </w:p>
    <w:p>
      <w:pPr>
        <w:ind w:firstLine="440" w:firstLineChars="200"/>
        <w:rPr>
          <w:color w:val="auto"/>
          <w:highlight w:val="none"/>
        </w:rPr>
      </w:pPr>
      <w:r>
        <w:rPr>
          <w:b/>
          <w:color w:val="auto"/>
          <w:highlight w:val="none"/>
        </w:rPr>
        <w:t xml:space="preserve">1  </w:t>
      </w:r>
      <w:r>
        <w:rPr>
          <w:rFonts w:hint="eastAsia"/>
          <w:color w:val="auto"/>
          <w:highlight w:val="none"/>
        </w:rPr>
        <w:t>模块单元加工合同；</w:t>
      </w:r>
    </w:p>
    <w:p>
      <w:pPr>
        <w:ind w:firstLine="440" w:firstLineChars="200"/>
        <w:rPr>
          <w:color w:val="auto"/>
          <w:highlight w:val="none"/>
        </w:rPr>
      </w:pPr>
      <w:r>
        <w:rPr>
          <w:b/>
          <w:color w:val="auto"/>
          <w:highlight w:val="none"/>
        </w:rPr>
        <w:t xml:space="preserve">2  </w:t>
      </w:r>
      <w:r>
        <w:rPr>
          <w:rFonts w:hint="eastAsia"/>
          <w:color w:val="auto"/>
          <w:highlight w:val="none"/>
        </w:rPr>
        <w:t>模块单元加工图纸及其他设计文件；</w:t>
      </w:r>
    </w:p>
    <w:p>
      <w:pPr>
        <w:ind w:firstLine="440" w:firstLineChars="200"/>
        <w:rPr>
          <w:color w:val="auto"/>
          <w:highlight w:val="none"/>
        </w:rPr>
      </w:pPr>
      <w:r>
        <w:rPr>
          <w:b/>
          <w:color w:val="auto"/>
          <w:highlight w:val="none"/>
        </w:rPr>
        <w:t xml:space="preserve">3  </w:t>
      </w:r>
      <w:r>
        <w:rPr>
          <w:rFonts w:hint="eastAsia"/>
          <w:color w:val="auto"/>
          <w:highlight w:val="none"/>
        </w:rPr>
        <w:t>制造方案和质量计划等文件；</w:t>
      </w:r>
    </w:p>
    <w:p>
      <w:pPr>
        <w:ind w:firstLine="440" w:firstLineChars="200"/>
        <w:rPr>
          <w:color w:val="auto"/>
          <w:highlight w:val="none"/>
        </w:rPr>
      </w:pPr>
      <w:r>
        <w:rPr>
          <w:b/>
          <w:color w:val="auto"/>
          <w:highlight w:val="none"/>
        </w:rPr>
        <w:t xml:space="preserve">4  </w:t>
      </w:r>
      <w:r>
        <w:rPr>
          <w:rFonts w:hint="eastAsia"/>
          <w:color w:val="auto"/>
          <w:highlight w:val="none"/>
        </w:rPr>
        <w:t>原材料质量证明文件、复试试验记录和试验报告；</w:t>
      </w:r>
    </w:p>
    <w:p>
      <w:pPr>
        <w:ind w:firstLine="440" w:firstLineChars="200"/>
        <w:rPr>
          <w:color w:val="auto"/>
          <w:highlight w:val="none"/>
        </w:rPr>
      </w:pPr>
      <w:r>
        <w:rPr>
          <w:b/>
          <w:color w:val="auto"/>
          <w:highlight w:val="none"/>
        </w:rPr>
        <w:t xml:space="preserve">5  </w:t>
      </w:r>
      <w:r>
        <w:rPr>
          <w:rFonts w:hint="eastAsia"/>
          <w:color w:val="auto"/>
          <w:highlight w:val="none"/>
        </w:rPr>
        <w:t>混凝土试配及配合比资料；</w:t>
      </w:r>
    </w:p>
    <w:p>
      <w:pPr>
        <w:ind w:firstLine="440" w:firstLineChars="200"/>
        <w:rPr>
          <w:color w:val="auto"/>
          <w:highlight w:val="none"/>
        </w:rPr>
      </w:pPr>
      <w:r>
        <w:rPr>
          <w:b/>
          <w:color w:val="auto"/>
          <w:highlight w:val="none"/>
        </w:rPr>
        <w:t xml:space="preserve">6  </w:t>
      </w:r>
      <w:r>
        <w:rPr>
          <w:rFonts w:hint="eastAsia"/>
          <w:color w:val="auto"/>
          <w:highlight w:val="none"/>
        </w:rPr>
        <w:t>混凝土送货单；</w:t>
      </w:r>
    </w:p>
    <w:p>
      <w:pPr>
        <w:ind w:firstLine="440" w:firstLineChars="200"/>
        <w:rPr>
          <w:color w:val="auto"/>
          <w:highlight w:val="none"/>
        </w:rPr>
      </w:pPr>
      <w:r>
        <w:rPr>
          <w:b/>
          <w:color w:val="auto"/>
          <w:highlight w:val="none"/>
        </w:rPr>
        <w:t xml:space="preserve">7  </w:t>
      </w:r>
      <w:r>
        <w:rPr>
          <w:rFonts w:hint="eastAsia"/>
          <w:color w:val="auto"/>
          <w:highlight w:val="none"/>
        </w:rPr>
        <w:t>混凝土强度报告；</w:t>
      </w:r>
    </w:p>
    <w:p>
      <w:pPr>
        <w:ind w:firstLine="440" w:firstLineChars="200"/>
        <w:rPr>
          <w:color w:val="auto"/>
          <w:highlight w:val="none"/>
        </w:rPr>
      </w:pPr>
      <w:r>
        <w:rPr>
          <w:b/>
          <w:color w:val="auto"/>
          <w:highlight w:val="none"/>
        </w:rPr>
        <w:t xml:space="preserve">8  </w:t>
      </w:r>
      <w:r>
        <w:rPr>
          <w:rFonts w:hint="eastAsia"/>
          <w:color w:val="auto"/>
          <w:highlight w:val="none"/>
        </w:rPr>
        <w:t>钢筋检验资料、钢筋接头的试验报告；</w:t>
      </w:r>
    </w:p>
    <w:p>
      <w:pPr>
        <w:ind w:firstLine="440" w:firstLineChars="200"/>
        <w:rPr>
          <w:color w:val="auto"/>
          <w:highlight w:val="none"/>
        </w:rPr>
      </w:pPr>
      <w:r>
        <w:rPr>
          <w:b/>
          <w:color w:val="auto"/>
          <w:highlight w:val="none"/>
        </w:rPr>
        <w:t xml:space="preserve">9  </w:t>
      </w:r>
      <w:r>
        <w:rPr>
          <w:rFonts w:hint="eastAsia"/>
          <w:color w:val="auto"/>
          <w:highlight w:val="none"/>
        </w:rPr>
        <w:t>模具检验资料；</w:t>
      </w:r>
    </w:p>
    <w:p>
      <w:pPr>
        <w:ind w:firstLine="440" w:firstLineChars="200"/>
        <w:rPr>
          <w:color w:val="auto"/>
          <w:highlight w:val="none"/>
        </w:rPr>
      </w:pPr>
      <w:r>
        <w:rPr>
          <w:b/>
          <w:color w:val="auto"/>
          <w:highlight w:val="none"/>
        </w:rPr>
        <w:t xml:space="preserve">10  </w:t>
      </w:r>
      <w:r>
        <w:rPr>
          <w:rFonts w:hint="eastAsia"/>
          <w:color w:val="auto"/>
          <w:highlight w:val="none"/>
        </w:rPr>
        <w:t>混凝土浇筑记录；</w:t>
      </w:r>
    </w:p>
    <w:p>
      <w:pPr>
        <w:ind w:firstLine="440" w:firstLineChars="200"/>
        <w:rPr>
          <w:color w:val="auto"/>
          <w:highlight w:val="none"/>
        </w:rPr>
      </w:pPr>
      <w:r>
        <w:rPr>
          <w:b/>
          <w:color w:val="auto"/>
          <w:highlight w:val="none"/>
        </w:rPr>
        <w:t xml:space="preserve">11  </w:t>
      </w:r>
      <w:r>
        <w:rPr>
          <w:rFonts w:hint="eastAsia"/>
          <w:color w:val="auto"/>
          <w:highlight w:val="none"/>
        </w:rPr>
        <w:t>混凝土养护记录；</w:t>
      </w:r>
    </w:p>
    <w:p>
      <w:pPr>
        <w:ind w:firstLine="440" w:firstLineChars="200"/>
        <w:rPr>
          <w:color w:val="auto"/>
          <w:highlight w:val="none"/>
        </w:rPr>
      </w:pPr>
      <w:r>
        <w:rPr>
          <w:b/>
          <w:color w:val="auto"/>
          <w:highlight w:val="none"/>
        </w:rPr>
        <w:t xml:space="preserve">12  </w:t>
      </w:r>
      <w:r>
        <w:rPr>
          <w:rFonts w:hint="eastAsia"/>
          <w:color w:val="auto"/>
          <w:highlight w:val="none"/>
        </w:rPr>
        <w:t>模块单元尺寸偏差及外观质量检验记录；</w:t>
      </w:r>
    </w:p>
    <w:p>
      <w:pPr>
        <w:ind w:firstLine="440" w:firstLineChars="200"/>
        <w:rPr>
          <w:color w:val="auto"/>
          <w:highlight w:val="none"/>
        </w:rPr>
      </w:pPr>
      <w:r>
        <w:rPr>
          <w:b/>
          <w:color w:val="auto"/>
          <w:highlight w:val="none"/>
        </w:rPr>
        <w:t>13</w:t>
      </w:r>
      <w:r>
        <w:rPr>
          <w:color w:val="auto"/>
          <w:highlight w:val="none"/>
        </w:rPr>
        <w:t xml:space="preserve">  </w:t>
      </w:r>
      <w:r>
        <w:rPr>
          <w:rFonts w:hint="eastAsia"/>
          <w:color w:val="auto"/>
          <w:highlight w:val="none"/>
        </w:rPr>
        <w:t>模块单元吊装测试报告；</w:t>
      </w:r>
    </w:p>
    <w:p>
      <w:pPr>
        <w:ind w:firstLine="440" w:firstLineChars="200"/>
        <w:rPr>
          <w:color w:val="auto"/>
          <w:highlight w:val="none"/>
        </w:rPr>
      </w:pPr>
      <w:r>
        <w:rPr>
          <w:b/>
          <w:color w:val="auto"/>
          <w:highlight w:val="none"/>
        </w:rPr>
        <w:t xml:space="preserve">14  </w:t>
      </w:r>
      <w:r>
        <w:rPr>
          <w:rFonts w:hint="eastAsia"/>
          <w:color w:val="auto"/>
          <w:highlight w:val="none"/>
        </w:rPr>
        <w:t>模块单元蓄水试验报告；</w:t>
      </w:r>
    </w:p>
    <w:p>
      <w:pPr>
        <w:ind w:firstLine="440" w:firstLineChars="200"/>
        <w:rPr>
          <w:color w:val="auto"/>
          <w:highlight w:val="none"/>
        </w:rPr>
      </w:pPr>
      <w:r>
        <w:rPr>
          <w:b/>
          <w:color w:val="auto"/>
          <w:highlight w:val="none"/>
        </w:rPr>
        <w:t xml:space="preserve">15  </w:t>
      </w:r>
      <w:r>
        <w:rPr>
          <w:rFonts w:hint="eastAsia"/>
          <w:color w:val="auto"/>
          <w:highlight w:val="none"/>
        </w:rPr>
        <w:t>模块单元淋水试验报告；</w:t>
      </w:r>
    </w:p>
    <w:p>
      <w:pPr>
        <w:ind w:firstLine="440" w:firstLineChars="200"/>
        <w:rPr>
          <w:b/>
          <w:color w:val="auto"/>
          <w:highlight w:val="none"/>
        </w:rPr>
      </w:pPr>
      <w:r>
        <w:rPr>
          <w:b/>
          <w:color w:val="auto"/>
          <w:highlight w:val="none"/>
        </w:rPr>
        <w:t>16</w:t>
      </w:r>
      <w:r>
        <w:rPr>
          <w:color w:val="auto"/>
          <w:highlight w:val="none"/>
        </w:rPr>
        <w:t xml:space="preserve">  </w:t>
      </w:r>
      <w:r>
        <w:rPr>
          <w:rFonts w:hint="eastAsia"/>
          <w:color w:val="auto"/>
          <w:highlight w:val="none"/>
        </w:rPr>
        <w:t>模块单元使用功能检验记录；</w:t>
      </w:r>
    </w:p>
    <w:p>
      <w:pPr>
        <w:ind w:firstLine="440" w:firstLineChars="200"/>
        <w:rPr>
          <w:color w:val="auto"/>
          <w:highlight w:val="none"/>
        </w:rPr>
      </w:pPr>
      <w:r>
        <w:rPr>
          <w:b/>
          <w:color w:val="auto"/>
          <w:highlight w:val="none"/>
        </w:rPr>
        <w:t xml:space="preserve">17  </w:t>
      </w:r>
      <w:r>
        <w:rPr>
          <w:rFonts w:hint="eastAsia"/>
          <w:color w:val="auto"/>
          <w:highlight w:val="none"/>
        </w:rPr>
        <w:t>模块出厂合格证；</w:t>
      </w:r>
    </w:p>
    <w:p>
      <w:pPr>
        <w:ind w:firstLine="440" w:firstLineChars="200"/>
        <w:rPr>
          <w:color w:val="auto"/>
          <w:highlight w:val="none"/>
        </w:rPr>
      </w:pPr>
      <w:r>
        <w:rPr>
          <w:rFonts w:hint="eastAsia"/>
          <w:b/>
          <w:color w:val="auto"/>
          <w:highlight w:val="none"/>
        </w:rPr>
        <w:t>1</w:t>
      </w:r>
      <w:r>
        <w:rPr>
          <w:b/>
          <w:color w:val="auto"/>
          <w:highlight w:val="none"/>
        </w:rPr>
        <w:t xml:space="preserve">8  </w:t>
      </w:r>
      <w:r>
        <w:rPr>
          <w:rFonts w:hint="eastAsia"/>
          <w:color w:val="auto"/>
          <w:highlight w:val="none"/>
        </w:rPr>
        <w:t>质量事故分析和处理资料；</w:t>
      </w:r>
    </w:p>
    <w:p>
      <w:pPr>
        <w:ind w:firstLine="440" w:firstLineChars="200"/>
        <w:rPr>
          <w:color w:val="auto"/>
          <w:highlight w:val="none"/>
        </w:rPr>
      </w:pPr>
      <w:r>
        <w:rPr>
          <w:b/>
          <w:bCs/>
          <w:color w:val="auto"/>
          <w:highlight w:val="none"/>
        </w:rPr>
        <w:t>19</w:t>
      </w:r>
      <w:r>
        <w:rPr>
          <w:rFonts w:hint="eastAsia"/>
          <w:color w:val="auto"/>
          <w:highlight w:val="none"/>
        </w:rPr>
        <w:t xml:space="preserve">  当模块单元采用灌浆套筒连接时，应提供接头型式检验报告等质量证明文件；</w:t>
      </w:r>
    </w:p>
    <w:p>
      <w:pPr>
        <w:ind w:firstLine="440" w:firstLineChars="200"/>
        <w:rPr>
          <w:color w:val="auto"/>
          <w:highlight w:val="none"/>
        </w:rPr>
      </w:pPr>
      <w:r>
        <w:rPr>
          <w:rFonts w:hint="eastAsia"/>
          <w:b/>
          <w:color w:val="auto"/>
          <w:highlight w:val="none"/>
        </w:rPr>
        <w:t>20</w:t>
      </w:r>
      <w:r>
        <w:rPr>
          <w:b/>
          <w:color w:val="auto"/>
          <w:highlight w:val="none"/>
        </w:rPr>
        <w:t xml:space="preserve">  </w:t>
      </w:r>
      <w:r>
        <w:rPr>
          <w:rFonts w:hint="eastAsia"/>
          <w:color w:val="auto"/>
          <w:highlight w:val="none"/>
        </w:rPr>
        <w:t>其他与模块单元制造和质量有关的重要文件资料。</w:t>
      </w:r>
    </w:p>
    <w:p>
      <w:pPr>
        <w:numPr>
          <w:ilvl w:val="0"/>
          <w:numId w:val="27"/>
        </w:numPr>
        <w:rPr>
          <w:color w:val="auto"/>
          <w:highlight w:val="none"/>
        </w:rPr>
      </w:pPr>
      <w:r>
        <w:rPr>
          <w:rFonts w:hint="eastAsia"/>
          <w:color w:val="auto"/>
          <w:highlight w:val="none"/>
        </w:rPr>
        <w:t>模块单元交付的文件资料应包括下列内容：</w:t>
      </w:r>
    </w:p>
    <w:p>
      <w:pPr>
        <w:ind w:firstLine="440" w:firstLineChars="200"/>
        <w:rPr>
          <w:color w:val="auto"/>
          <w:highlight w:val="none"/>
        </w:rPr>
      </w:pPr>
      <w:r>
        <w:rPr>
          <w:b/>
          <w:color w:val="auto"/>
          <w:highlight w:val="none"/>
        </w:rPr>
        <w:t xml:space="preserve">1  </w:t>
      </w:r>
      <w:r>
        <w:rPr>
          <w:rFonts w:hint="eastAsia"/>
          <w:color w:val="auto"/>
          <w:highlight w:val="none"/>
        </w:rPr>
        <w:t>出厂合格证；</w:t>
      </w:r>
    </w:p>
    <w:p>
      <w:pPr>
        <w:ind w:firstLine="440" w:firstLineChars="200"/>
        <w:rPr>
          <w:color w:val="auto"/>
          <w:highlight w:val="none"/>
        </w:rPr>
      </w:pPr>
      <w:r>
        <w:rPr>
          <w:b/>
          <w:color w:val="auto"/>
          <w:highlight w:val="none"/>
        </w:rPr>
        <w:t>2</w:t>
      </w:r>
      <w:r>
        <w:rPr>
          <w:color w:val="auto"/>
          <w:highlight w:val="none"/>
        </w:rPr>
        <w:t xml:space="preserve">  </w:t>
      </w:r>
      <w:r>
        <w:rPr>
          <w:rFonts w:hint="eastAsia"/>
          <w:color w:val="auto"/>
          <w:highlight w:val="none"/>
        </w:rPr>
        <w:t>产品质量证明文件；</w:t>
      </w:r>
    </w:p>
    <w:p>
      <w:pPr>
        <w:ind w:firstLine="440" w:firstLineChars="200"/>
        <w:rPr>
          <w:color w:val="auto"/>
          <w:highlight w:val="none"/>
        </w:rPr>
      </w:pPr>
      <w:r>
        <w:rPr>
          <w:b/>
          <w:color w:val="auto"/>
          <w:highlight w:val="none"/>
        </w:rPr>
        <w:t>3</w:t>
      </w:r>
      <w:r>
        <w:rPr>
          <w:color w:val="auto"/>
          <w:highlight w:val="none"/>
        </w:rPr>
        <w:t xml:space="preserve">  </w:t>
      </w:r>
      <w:r>
        <w:rPr>
          <w:rFonts w:hint="eastAsia"/>
          <w:color w:val="auto"/>
          <w:highlight w:val="none"/>
        </w:rPr>
        <w:t>使用说明书。</w:t>
      </w:r>
    </w:p>
    <w:p>
      <w:pPr>
        <w:pStyle w:val="4"/>
        <w:rPr>
          <w:color w:val="auto"/>
          <w:highlight w:val="none"/>
        </w:rPr>
      </w:pPr>
      <w:bookmarkStart w:id="1104" w:name="_Toc10487"/>
      <w:bookmarkStart w:id="1105" w:name="_Toc20604"/>
      <w:bookmarkStart w:id="1106" w:name="_Toc11956"/>
      <w:bookmarkStart w:id="1107" w:name="_Toc19281"/>
      <w:bookmarkStart w:id="1108" w:name="_Toc26893"/>
      <w:bookmarkStart w:id="1109" w:name="_Toc9998"/>
      <w:bookmarkStart w:id="1110" w:name="_Toc23219"/>
      <w:bookmarkStart w:id="1111" w:name="_Toc25067"/>
      <w:bookmarkStart w:id="1112" w:name="_Toc12127"/>
      <w:bookmarkStart w:id="1113" w:name="_Toc18262"/>
      <w:bookmarkStart w:id="1114" w:name="_Toc27500"/>
      <w:bookmarkStart w:id="1115" w:name="_Toc5494"/>
      <w:bookmarkStart w:id="1116" w:name="_Toc18487"/>
      <w:bookmarkStart w:id="1117" w:name="_Toc3190"/>
      <w:bookmarkStart w:id="1118" w:name="_Toc13099"/>
      <w:bookmarkStart w:id="1119" w:name="_Toc228"/>
      <w:bookmarkStart w:id="1120" w:name="_Toc6050"/>
      <w:bookmarkStart w:id="1121" w:name="_Toc25849"/>
      <w:bookmarkStart w:id="1122" w:name="_Toc12772"/>
      <w:bookmarkStart w:id="1123" w:name="_Toc28454"/>
      <w:bookmarkStart w:id="1124" w:name="_Toc6216"/>
      <w:bookmarkStart w:id="1125" w:name="_Toc1939"/>
      <w:bookmarkStart w:id="1126" w:name="_Toc9056"/>
      <w:bookmarkStart w:id="1127" w:name="_Toc4741"/>
      <w:bookmarkStart w:id="1128" w:name="_Toc12831"/>
      <w:bookmarkStart w:id="1129" w:name="_Toc910"/>
      <w:bookmarkStart w:id="1130" w:name="_Toc5911"/>
      <w:bookmarkStart w:id="1131" w:name="_Toc25881"/>
      <w:bookmarkStart w:id="1132" w:name="_Toc6700"/>
      <w:bookmarkStart w:id="1133" w:name="_Toc28243"/>
      <w:bookmarkStart w:id="1134" w:name="_Toc16165"/>
      <w:bookmarkStart w:id="1135" w:name="_Toc25782"/>
      <w:bookmarkStart w:id="1136" w:name="_Toc25435"/>
      <w:r>
        <w:rPr>
          <w:b/>
          <w:bCs w:val="0"/>
          <w:color w:val="auto"/>
          <w:highlight w:val="none"/>
        </w:rPr>
        <w:t>8</w:t>
      </w:r>
      <w:r>
        <w:rPr>
          <w:rFonts w:hint="eastAsia" w:ascii="宋体" w:hAnsi="宋体" w:eastAsia="宋体"/>
          <w:color w:val="auto"/>
          <w:szCs w:val="21"/>
          <w:highlight w:val="none"/>
        </w:rPr>
        <w:t>.</w:t>
      </w:r>
      <w:r>
        <w:rPr>
          <w:rFonts w:hint="eastAsia"/>
          <w:b/>
          <w:bCs w:val="0"/>
          <w:color w:val="auto"/>
          <w:highlight w:val="none"/>
        </w:rPr>
        <w:t>6</w:t>
      </w:r>
      <w:r>
        <w:rPr>
          <w:rFonts w:hint="eastAsia"/>
          <w:color w:val="auto"/>
          <w:highlight w:val="none"/>
        </w:rPr>
        <w:t xml:space="preserve">  吊装、运输、存放及防护</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p>
    <w:p>
      <w:pPr>
        <w:numPr>
          <w:ilvl w:val="0"/>
          <w:numId w:val="28"/>
        </w:numPr>
        <w:rPr>
          <w:color w:val="auto"/>
          <w:highlight w:val="none"/>
        </w:rPr>
      </w:pPr>
      <w:r>
        <w:rPr>
          <w:rFonts w:hint="eastAsia"/>
          <w:color w:val="auto"/>
          <w:highlight w:val="none"/>
        </w:rPr>
        <w:t>模块单元出厂前，围护系统、内装饰系统、家具、部品、水电管线和接口器件等应有相应保护措施。</w:t>
      </w:r>
    </w:p>
    <w:p>
      <w:pPr>
        <w:numPr>
          <w:ilvl w:val="0"/>
          <w:numId w:val="28"/>
        </w:numPr>
        <w:rPr>
          <w:color w:val="auto"/>
          <w:highlight w:val="none"/>
        </w:rPr>
      </w:pPr>
      <w:r>
        <w:rPr>
          <w:rFonts w:hint="eastAsia"/>
          <w:color w:val="auto"/>
          <w:highlight w:val="none"/>
        </w:rPr>
        <w:t>模块单元吊运应符合下列规定：</w:t>
      </w:r>
    </w:p>
    <w:p>
      <w:pPr>
        <w:ind w:firstLine="440" w:firstLineChars="200"/>
        <w:rPr>
          <w:color w:val="auto"/>
          <w:highlight w:val="none"/>
        </w:rPr>
      </w:pPr>
      <w:r>
        <w:rPr>
          <w:b/>
          <w:color w:val="auto"/>
          <w:highlight w:val="none"/>
        </w:rPr>
        <w:t xml:space="preserve">1  </w:t>
      </w:r>
      <w:r>
        <w:rPr>
          <w:rFonts w:hint="eastAsia"/>
          <w:color w:val="auto"/>
          <w:highlight w:val="none"/>
        </w:rPr>
        <w:t>吊具和起重设备应根据模块的形状、尺寸、重量和作业半径等要求确定，并应符合国家现行有关标准及产品应用技术手册的规定；</w:t>
      </w:r>
    </w:p>
    <w:p>
      <w:pPr>
        <w:ind w:firstLine="440" w:firstLineChars="200"/>
        <w:rPr>
          <w:color w:val="auto"/>
          <w:highlight w:val="none"/>
        </w:rPr>
      </w:pPr>
      <w:r>
        <w:rPr>
          <w:b/>
          <w:color w:val="auto"/>
          <w:highlight w:val="none"/>
        </w:rPr>
        <w:t xml:space="preserve">2  </w:t>
      </w:r>
      <w:r>
        <w:rPr>
          <w:rFonts w:hint="eastAsia" w:ascii="宋体" w:hAnsi="宋体"/>
          <w:color w:val="auto"/>
          <w:highlight w:val="none"/>
        </w:rPr>
        <w:t>模块单元吊运应采用专用吊架，吊架与模块</w:t>
      </w:r>
      <w:r>
        <w:rPr>
          <w:rFonts w:hint="eastAsia"/>
          <w:color w:val="auto"/>
          <w:highlight w:val="none"/>
        </w:rPr>
        <w:t>单元</w:t>
      </w:r>
      <w:r>
        <w:rPr>
          <w:rFonts w:hint="eastAsia" w:ascii="宋体" w:hAnsi="宋体"/>
          <w:color w:val="auto"/>
          <w:highlight w:val="none"/>
        </w:rPr>
        <w:t>之间的水平可用手拉葫芦或长短吊链等方式控制；</w:t>
      </w:r>
    </w:p>
    <w:p>
      <w:pPr>
        <w:ind w:firstLine="440" w:firstLineChars="200"/>
        <w:rPr>
          <w:color w:val="auto"/>
          <w:highlight w:val="none"/>
        </w:rPr>
      </w:pPr>
      <w:r>
        <w:rPr>
          <w:b/>
          <w:color w:val="auto"/>
          <w:highlight w:val="none"/>
        </w:rPr>
        <w:t xml:space="preserve">3  </w:t>
      </w:r>
      <w:r>
        <w:rPr>
          <w:rFonts w:hint="eastAsia"/>
          <w:color w:val="auto"/>
          <w:highlight w:val="none"/>
        </w:rPr>
        <w:t>吊点数量、位置应经计算确定，应保证吊具连接可靠，应保证起重设备的主钩位置、吊具及构件重心在竖直方向上重合；</w:t>
      </w:r>
    </w:p>
    <w:p>
      <w:pPr>
        <w:ind w:firstLine="440" w:firstLineChars="200"/>
        <w:rPr>
          <w:color w:val="auto"/>
          <w:highlight w:val="none"/>
        </w:rPr>
      </w:pPr>
      <w:bookmarkStart w:id="1137" w:name="_Toc19435"/>
      <w:bookmarkStart w:id="1138" w:name="_Toc14655"/>
      <w:r>
        <w:rPr>
          <w:b/>
          <w:color w:val="auto"/>
          <w:highlight w:val="none"/>
        </w:rPr>
        <w:t xml:space="preserve">4  </w:t>
      </w:r>
      <w:r>
        <w:rPr>
          <w:rFonts w:hint="eastAsia"/>
          <w:color w:val="auto"/>
          <w:highlight w:val="none"/>
        </w:rPr>
        <w:t>吊索水平夹角不宜小于</w:t>
      </w:r>
      <w:r>
        <w:rPr>
          <w:color w:val="auto"/>
          <w:highlight w:val="none"/>
        </w:rPr>
        <w:t>60°</w:t>
      </w:r>
      <w:r>
        <w:rPr>
          <w:rFonts w:hint="eastAsia"/>
          <w:color w:val="auto"/>
          <w:highlight w:val="none"/>
        </w:rPr>
        <w:t>，不应小于</w:t>
      </w:r>
      <w:r>
        <w:rPr>
          <w:color w:val="auto"/>
          <w:highlight w:val="none"/>
        </w:rPr>
        <w:t>45°</w:t>
      </w:r>
      <w:r>
        <w:rPr>
          <w:rFonts w:hint="eastAsia"/>
          <w:color w:val="auto"/>
          <w:highlight w:val="none"/>
        </w:rPr>
        <w:t>；</w:t>
      </w:r>
      <w:bookmarkEnd w:id="1137"/>
      <w:bookmarkEnd w:id="1138"/>
    </w:p>
    <w:p>
      <w:pPr>
        <w:ind w:firstLine="440" w:firstLineChars="200"/>
        <w:rPr>
          <w:color w:val="auto"/>
          <w:highlight w:val="none"/>
        </w:rPr>
      </w:pPr>
      <w:r>
        <w:rPr>
          <w:b/>
          <w:color w:val="auto"/>
          <w:highlight w:val="none"/>
        </w:rPr>
        <w:t xml:space="preserve">5  </w:t>
      </w:r>
      <w:r>
        <w:rPr>
          <w:rFonts w:hint="eastAsia"/>
          <w:color w:val="auto"/>
          <w:highlight w:val="none"/>
        </w:rPr>
        <w:t>模块单元吊运应采用慢起、稳升、缓放的操作方式，吊运过程，应保持稳定，不得偏斜、摇摆和扭转，严禁吊装构件长时间悬停在空中；</w:t>
      </w:r>
    </w:p>
    <w:p>
      <w:pPr>
        <w:ind w:firstLine="440" w:firstLineChars="200"/>
        <w:rPr>
          <w:color w:val="auto"/>
          <w:highlight w:val="none"/>
        </w:rPr>
      </w:pPr>
      <w:r>
        <w:rPr>
          <w:b/>
          <w:color w:val="auto"/>
          <w:highlight w:val="none"/>
        </w:rPr>
        <w:t xml:space="preserve">6  </w:t>
      </w:r>
      <w:r>
        <w:rPr>
          <w:rFonts w:hint="eastAsia"/>
          <w:color w:val="auto"/>
          <w:highlight w:val="none"/>
        </w:rPr>
        <w:t>模块单元起吊前应采取避免混凝土模块变形和损伤的临时加固措施，宜对门窗洞口进行加固，可采用钢杆或钢架支撑。</w:t>
      </w:r>
    </w:p>
    <w:p>
      <w:pPr>
        <w:numPr>
          <w:ilvl w:val="0"/>
          <w:numId w:val="28"/>
        </w:numPr>
        <w:rPr>
          <w:color w:val="auto"/>
          <w:highlight w:val="none"/>
        </w:rPr>
      </w:pPr>
      <w:bookmarkStart w:id="1139" w:name="_Toc6620"/>
      <w:bookmarkStart w:id="1140" w:name="_Toc1381"/>
      <w:r>
        <w:rPr>
          <w:rFonts w:hint="eastAsia"/>
          <w:color w:val="auto"/>
          <w:highlight w:val="none"/>
        </w:rPr>
        <w:t>模块单元在运输时应符合下列规定：</w:t>
      </w:r>
      <w:bookmarkEnd w:id="1139"/>
      <w:bookmarkEnd w:id="1140"/>
    </w:p>
    <w:p>
      <w:pPr>
        <w:ind w:firstLine="440" w:firstLineChars="200"/>
        <w:rPr>
          <w:color w:val="auto"/>
          <w:highlight w:val="none"/>
        </w:rPr>
      </w:pPr>
      <w:bookmarkStart w:id="1141" w:name="_Toc32722"/>
      <w:bookmarkStart w:id="1142" w:name="_Toc22052"/>
      <w:r>
        <w:rPr>
          <w:b/>
          <w:color w:val="auto"/>
          <w:highlight w:val="none"/>
        </w:rPr>
        <w:t xml:space="preserve">1  </w:t>
      </w:r>
      <w:r>
        <w:rPr>
          <w:rFonts w:hint="eastAsia"/>
          <w:color w:val="auto"/>
          <w:highlight w:val="none"/>
        </w:rPr>
        <w:t>模块单元运输时应满足道路运输的相关要求；</w:t>
      </w:r>
      <w:bookmarkEnd w:id="1141"/>
      <w:bookmarkEnd w:id="1142"/>
    </w:p>
    <w:p>
      <w:pPr>
        <w:ind w:firstLine="440" w:firstLineChars="200"/>
        <w:rPr>
          <w:color w:val="auto"/>
          <w:highlight w:val="none"/>
        </w:rPr>
      </w:pPr>
      <w:r>
        <w:rPr>
          <w:b/>
          <w:color w:val="auto"/>
          <w:highlight w:val="none"/>
        </w:rPr>
        <w:t xml:space="preserve">2  </w:t>
      </w:r>
      <w:r>
        <w:rPr>
          <w:rFonts w:hint="eastAsia"/>
          <w:color w:val="auto"/>
          <w:highlight w:val="none"/>
        </w:rPr>
        <w:t>模块单元运输时应采取相应加固措施，防止模块单元移动、倾倒或变形；</w:t>
      </w:r>
    </w:p>
    <w:p>
      <w:pPr>
        <w:ind w:firstLine="440" w:firstLineChars="200"/>
        <w:rPr>
          <w:color w:val="auto"/>
          <w:highlight w:val="none"/>
        </w:rPr>
      </w:pPr>
      <w:bookmarkStart w:id="1143" w:name="_Toc25595"/>
      <w:bookmarkStart w:id="1144" w:name="_Toc19342"/>
      <w:r>
        <w:rPr>
          <w:rFonts w:hint="eastAsia"/>
          <w:b/>
          <w:color w:val="auto"/>
          <w:highlight w:val="none"/>
        </w:rPr>
        <w:t>3</w:t>
      </w:r>
      <w:r>
        <w:rPr>
          <w:b/>
          <w:color w:val="auto"/>
          <w:highlight w:val="none"/>
        </w:rPr>
        <w:t xml:space="preserve">  </w:t>
      </w:r>
      <w:r>
        <w:rPr>
          <w:rFonts w:hint="eastAsia"/>
          <w:color w:val="auto"/>
          <w:highlight w:val="none"/>
        </w:rPr>
        <w:t>模块单元的水平及竖向拼接部位，应设置临时防水措施；</w:t>
      </w:r>
    </w:p>
    <w:p>
      <w:pPr>
        <w:ind w:firstLine="440" w:firstLineChars="200"/>
        <w:rPr>
          <w:color w:val="auto"/>
          <w:highlight w:val="none"/>
        </w:rPr>
      </w:pPr>
      <w:r>
        <w:rPr>
          <w:rFonts w:hint="eastAsia"/>
          <w:b/>
          <w:color w:val="auto"/>
          <w:highlight w:val="none"/>
        </w:rPr>
        <w:t>4</w:t>
      </w:r>
      <w:r>
        <w:rPr>
          <w:rFonts w:hint="eastAsia"/>
          <w:color w:val="auto"/>
          <w:highlight w:val="none"/>
        </w:rPr>
        <w:t xml:space="preserve">  模块单元洞口位置应设置封盖物，防止雨水进入模块单元内部。</w:t>
      </w:r>
      <w:bookmarkEnd w:id="1143"/>
      <w:bookmarkEnd w:id="1144"/>
    </w:p>
    <w:p>
      <w:pPr>
        <w:numPr>
          <w:ilvl w:val="0"/>
          <w:numId w:val="28"/>
        </w:numPr>
        <w:rPr>
          <w:color w:val="auto"/>
          <w:highlight w:val="none"/>
        </w:rPr>
      </w:pPr>
      <w:r>
        <w:rPr>
          <w:rFonts w:hint="eastAsia"/>
          <w:color w:val="auto"/>
          <w:highlight w:val="none"/>
        </w:rPr>
        <w:t>模块单元存放时应符合下列规定：</w:t>
      </w:r>
    </w:p>
    <w:p>
      <w:pPr>
        <w:ind w:firstLine="440" w:firstLineChars="200"/>
        <w:rPr>
          <w:color w:val="auto"/>
          <w:highlight w:val="none"/>
        </w:rPr>
      </w:pPr>
      <w:bookmarkStart w:id="1145" w:name="_Toc22222"/>
      <w:bookmarkStart w:id="1146" w:name="_Toc11538"/>
      <w:r>
        <w:rPr>
          <w:b/>
          <w:color w:val="auto"/>
          <w:highlight w:val="none"/>
        </w:rPr>
        <w:t xml:space="preserve">1  </w:t>
      </w:r>
      <w:r>
        <w:rPr>
          <w:rFonts w:hint="eastAsia"/>
          <w:color w:val="auto"/>
          <w:highlight w:val="none"/>
        </w:rPr>
        <w:t>存放场地应平整、坚实，并应有排水措施；</w:t>
      </w:r>
      <w:bookmarkEnd w:id="1145"/>
      <w:bookmarkEnd w:id="1146"/>
    </w:p>
    <w:p>
      <w:pPr>
        <w:ind w:firstLine="440" w:firstLineChars="200"/>
        <w:rPr>
          <w:color w:val="auto"/>
          <w:highlight w:val="none"/>
        </w:rPr>
      </w:pPr>
      <w:r>
        <w:rPr>
          <w:rFonts w:hint="eastAsia"/>
          <w:b/>
          <w:color w:val="auto"/>
          <w:highlight w:val="none"/>
        </w:rPr>
        <w:t>2</w:t>
      </w:r>
      <w:r>
        <w:rPr>
          <w:b/>
          <w:color w:val="auto"/>
          <w:highlight w:val="none"/>
        </w:rPr>
        <w:t xml:space="preserve">  </w:t>
      </w:r>
      <w:r>
        <w:rPr>
          <w:rFonts w:hint="eastAsia"/>
          <w:color w:val="auto"/>
          <w:highlight w:val="none"/>
        </w:rPr>
        <w:t>模块单元应按照一定产品品种、规格型号、检验状态分类存放，产品标识应准确、清晰、明显；</w:t>
      </w:r>
    </w:p>
    <w:p>
      <w:pPr>
        <w:numPr>
          <w:ilvl w:val="0"/>
          <w:numId w:val="28"/>
        </w:numPr>
        <w:rPr>
          <w:color w:val="auto"/>
          <w:highlight w:val="none"/>
        </w:rPr>
      </w:pPr>
      <w:r>
        <w:rPr>
          <w:rFonts w:hint="eastAsia"/>
          <w:color w:val="auto"/>
          <w:highlight w:val="none"/>
        </w:rPr>
        <w:t>模块单元成品保护应符合下列规定：</w:t>
      </w:r>
    </w:p>
    <w:p>
      <w:pPr>
        <w:ind w:firstLine="440" w:firstLineChars="200"/>
        <w:rPr>
          <w:color w:val="auto"/>
          <w:highlight w:val="none"/>
        </w:rPr>
      </w:pPr>
      <w:r>
        <w:rPr>
          <w:b/>
          <w:color w:val="auto"/>
          <w:highlight w:val="none"/>
        </w:rPr>
        <w:t xml:space="preserve">1  </w:t>
      </w:r>
      <w:r>
        <w:rPr>
          <w:rFonts w:hint="eastAsia"/>
          <w:color w:val="auto"/>
          <w:highlight w:val="none"/>
        </w:rPr>
        <w:t>模块单元成品外露保温板应采取防止开裂措施，外露钢筋应采取防弯折、防碰伤措施，外露预埋件和连结件等外露金属件应按不同环境类别进行防护或防腐、防锈；</w:t>
      </w:r>
    </w:p>
    <w:p>
      <w:pPr>
        <w:ind w:firstLine="440" w:firstLineChars="200"/>
        <w:rPr>
          <w:color w:val="auto"/>
          <w:highlight w:val="none"/>
        </w:rPr>
      </w:pPr>
      <w:r>
        <w:rPr>
          <w:b/>
          <w:color w:val="auto"/>
          <w:highlight w:val="none"/>
        </w:rPr>
        <w:t xml:space="preserve">2  </w:t>
      </w:r>
      <w:r>
        <w:rPr>
          <w:rFonts w:hint="eastAsia"/>
          <w:color w:val="auto"/>
          <w:highlight w:val="none"/>
        </w:rPr>
        <w:t>吊装前预埋螺栓孔宜保持清洁；</w:t>
      </w:r>
    </w:p>
    <w:p>
      <w:pPr>
        <w:ind w:firstLine="440" w:firstLineChars="200"/>
        <w:rPr>
          <w:color w:val="auto"/>
          <w:highlight w:val="none"/>
        </w:rPr>
      </w:pPr>
      <w:r>
        <w:rPr>
          <w:b/>
          <w:color w:val="auto"/>
          <w:highlight w:val="none"/>
        </w:rPr>
        <w:t xml:space="preserve">3  </w:t>
      </w:r>
      <w:r>
        <w:rPr>
          <w:rFonts w:hint="eastAsia"/>
          <w:color w:val="auto"/>
          <w:highlight w:val="none"/>
        </w:rPr>
        <w:t>预埋孔洞应临时封堵，防止堵塞；</w:t>
      </w:r>
    </w:p>
    <w:p>
      <w:pPr>
        <w:ind w:firstLine="440" w:firstLineChars="200"/>
        <w:rPr>
          <w:color w:val="auto"/>
          <w:highlight w:val="none"/>
        </w:rPr>
      </w:pPr>
      <w:r>
        <w:rPr>
          <w:b/>
          <w:color w:val="auto"/>
          <w:highlight w:val="none"/>
        </w:rPr>
        <w:t xml:space="preserve">4  </w:t>
      </w:r>
      <w:r>
        <w:rPr>
          <w:rFonts w:hint="eastAsia"/>
          <w:color w:val="auto"/>
          <w:highlight w:val="none"/>
        </w:rPr>
        <w:t>模块单元应在外侧设置防水罩等防水措施，防水罩宜设有可开启入口，防水措施应满足绿色可回收、不影响装修和吊运、包装便于装卸等要求；</w:t>
      </w:r>
    </w:p>
    <w:p>
      <w:pPr>
        <w:ind w:firstLine="440" w:firstLineChars="200"/>
        <w:rPr>
          <w:color w:val="auto"/>
          <w:highlight w:val="none"/>
        </w:rPr>
      </w:pPr>
      <w:r>
        <w:rPr>
          <w:b/>
          <w:color w:val="auto"/>
          <w:highlight w:val="none"/>
        </w:rPr>
        <w:t xml:space="preserve">5  </w:t>
      </w:r>
      <w:r>
        <w:rPr>
          <w:rFonts w:hint="eastAsia"/>
          <w:color w:val="auto"/>
          <w:highlight w:val="none"/>
        </w:rPr>
        <w:t>玻璃、瓷砖、木柜等装修宜用胶纸、泡沫等措施进行保护。</w:t>
      </w:r>
    </w:p>
    <w:p>
      <w:pPr>
        <w:widowControl/>
        <w:jc w:val="left"/>
        <w:rPr>
          <w:color w:val="auto"/>
          <w:highlight w:val="none"/>
        </w:rPr>
        <w:sectPr>
          <w:pgSz w:w="11906" w:h="16838"/>
          <w:pgMar w:top="1610" w:right="1349" w:bottom="1213" w:left="1293" w:header="851" w:footer="992" w:gutter="0"/>
          <w:cols w:space="720" w:num="1"/>
          <w:docGrid w:type="linesAndChars" w:linePitch="333" w:charSpace="2165"/>
        </w:sectPr>
      </w:pPr>
    </w:p>
    <w:p>
      <w:pPr>
        <w:pStyle w:val="2"/>
        <w:rPr>
          <w:b/>
          <w:bCs w:val="0"/>
          <w:color w:val="auto"/>
          <w:highlight w:val="none"/>
        </w:rPr>
      </w:pPr>
      <w:bookmarkStart w:id="1147" w:name="_Toc28506"/>
      <w:bookmarkStart w:id="1148" w:name="_Toc32162"/>
      <w:bookmarkStart w:id="1149" w:name="_Toc22663"/>
      <w:bookmarkStart w:id="1150" w:name="_Toc27446"/>
      <w:bookmarkStart w:id="1151" w:name="_Toc1760"/>
      <w:bookmarkStart w:id="1152" w:name="_Toc9495"/>
      <w:bookmarkStart w:id="1153" w:name="_Toc11989"/>
      <w:bookmarkStart w:id="1154" w:name="_Toc6926"/>
      <w:bookmarkStart w:id="1155" w:name="_Toc2569"/>
      <w:bookmarkStart w:id="1156" w:name="_Toc12066"/>
      <w:bookmarkStart w:id="1157" w:name="_Toc2996"/>
      <w:bookmarkStart w:id="1158" w:name="_Toc23971"/>
      <w:bookmarkStart w:id="1159" w:name="_Toc8794"/>
      <w:bookmarkStart w:id="1160" w:name="_Toc17306"/>
      <w:bookmarkStart w:id="1161" w:name="_Toc21447"/>
      <w:bookmarkStart w:id="1162" w:name="_Toc16277"/>
      <w:bookmarkStart w:id="1163" w:name="_Toc2314"/>
      <w:bookmarkStart w:id="1164" w:name="_Toc14175"/>
      <w:bookmarkStart w:id="1165" w:name="_Toc1186"/>
      <w:bookmarkStart w:id="1166" w:name="_Toc9418"/>
      <w:bookmarkStart w:id="1167" w:name="_Toc20984"/>
      <w:bookmarkStart w:id="1168" w:name="_Toc30327"/>
      <w:bookmarkStart w:id="1169" w:name="_Toc2637"/>
      <w:bookmarkStart w:id="1170" w:name="_Toc22423"/>
      <w:bookmarkStart w:id="1171" w:name="_Toc10124"/>
      <w:bookmarkStart w:id="1172" w:name="_Toc4269"/>
      <w:bookmarkStart w:id="1173" w:name="_Toc11428"/>
      <w:bookmarkStart w:id="1174" w:name="_Toc19266"/>
      <w:bookmarkStart w:id="1175" w:name="_Toc32603"/>
      <w:bookmarkStart w:id="1176" w:name="_Toc17087"/>
      <w:bookmarkStart w:id="1177" w:name="_Toc1340"/>
      <w:bookmarkStart w:id="1178" w:name="_Toc24093"/>
      <w:bookmarkStart w:id="1179" w:name="_Toc15559"/>
      <w:r>
        <w:rPr>
          <w:rFonts w:hint="eastAsia"/>
          <w:b/>
          <w:bCs w:val="0"/>
          <w:color w:val="auto"/>
          <w:highlight w:val="none"/>
        </w:rPr>
        <w:t>9</w:t>
      </w:r>
      <w:r>
        <w:rPr>
          <w:b/>
          <w:bCs w:val="0"/>
          <w:color w:val="auto"/>
          <w:highlight w:val="none"/>
        </w:rPr>
        <w:t xml:space="preserve"> </w:t>
      </w:r>
      <w:r>
        <w:rPr>
          <w:rFonts w:hint="eastAsia"/>
          <w:b/>
          <w:bCs w:val="0"/>
          <w:color w:val="auto"/>
          <w:highlight w:val="none"/>
        </w:rPr>
        <w:t xml:space="preserve"> 安装与连接</w:t>
      </w:r>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p>
    <w:p>
      <w:pPr>
        <w:pStyle w:val="4"/>
        <w:rPr>
          <w:color w:val="auto"/>
          <w:highlight w:val="none"/>
        </w:rPr>
      </w:pPr>
      <w:bookmarkStart w:id="1180" w:name="_Toc7945"/>
      <w:bookmarkStart w:id="1181" w:name="_Toc9391"/>
      <w:bookmarkStart w:id="1182" w:name="_Toc26124"/>
      <w:bookmarkStart w:id="1183" w:name="_Toc8911"/>
      <w:bookmarkStart w:id="1184" w:name="_Toc27912"/>
      <w:bookmarkStart w:id="1185" w:name="_Toc12160"/>
      <w:bookmarkStart w:id="1186" w:name="_Toc15045"/>
      <w:bookmarkStart w:id="1187" w:name="_Toc5529"/>
      <w:bookmarkStart w:id="1188" w:name="_Toc16289"/>
      <w:bookmarkStart w:id="1189" w:name="_Toc3398"/>
      <w:bookmarkStart w:id="1190" w:name="_Toc9669"/>
      <w:bookmarkStart w:id="1191" w:name="_Toc11726"/>
      <w:bookmarkStart w:id="1192" w:name="_Toc12620"/>
      <w:bookmarkStart w:id="1193" w:name="_Toc16058"/>
      <w:bookmarkStart w:id="1194" w:name="_Toc29903"/>
      <w:bookmarkStart w:id="1195" w:name="_Toc26316"/>
      <w:bookmarkStart w:id="1196" w:name="_Toc6265"/>
      <w:bookmarkStart w:id="1197" w:name="_Toc25937"/>
      <w:bookmarkStart w:id="1198" w:name="_Toc17816"/>
      <w:bookmarkStart w:id="1199" w:name="_Toc26208"/>
      <w:bookmarkStart w:id="1200" w:name="_Toc11361"/>
      <w:bookmarkStart w:id="1201" w:name="_Toc10343"/>
      <w:bookmarkStart w:id="1202" w:name="_Toc8520"/>
      <w:bookmarkStart w:id="1203" w:name="_Toc3938"/>
      <w:bookmarkStart w:id="1204" w:name="_Toc22416"/>
      <w:bookmarkStart w:id="1205" w:name="_Toc27032"/>
      <w:bookmarkStart w:id="1206" w:name="_Toc5907"/>
      <w:bookmarkStart w:id="1207" w:name="_Toc31930"/>
      <w:bookmarkStart w:id="1208" w:name="_Toc3733"/>
      <w:bookmarkStart w:id="1209" w:name="_Toc8226"/>
      <w:bookmarkStart w:id="1210" w:name="_Toc24888"/>
      <w:bookmarkStart w:id="1211" w:name="_Toc24391"/>
      <w:bookmarkStart w:id="1212" w:name="_Toc19908"/>
      <w:r>
        <w:rPr>
          <w:rFonts w:hint="eastAsia"/>
          <w:b/>
          <w:bCs w:val="0"/>
          <w:color w:val="auto"/>
          <w:highlight w:val="none"/>
        </w:rPr>
        <w:t>9</w:t>
      </w:r>
      <w:r>
        <w:rPr>
          <w:rFonts w:hint="eastAsia" w:ascii="宋体" w:hAnsi="宋体" w:eastAsia="宋体" w:cs="宋体"/>
          <w:b/>
          <w:bCs w:val="0"/>
          <w:color w:val="auto"/>
          <w:highlight w:val="none"/>
        </w:rPr>
        <w:t>.</w:t>
      </w:r>
      <w:r>
        <w:rPr>
          <w:rFonts w:hint="eastAsia" w:eastAsia="宋体"/>
          <w:b/>
          <w:bCs w:val="0"/>
          <w:color w:val="auto"/>
          <w:highlight w:val="none"/>
        </w:rPr>
        <w:t>1</w:t>
      </w:r>
      <w:r>
        <w:rPr>
          <w:rFonts w:hint="eastAsia"/>
          <w:color w:val="auto"/>
          <w:highlight w:val="none"/>
        </w:rPr>
        <w:t xml:space="preserve">  一般规定</w:t>
      </w:r>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p>
    <w:p>
      <w:pPr>
        <w:numPr>
          <w:ilvl w:val="0"/>
          <w:numId w:val="29"/>
        </w:numPr>
        <w:rPr>
          <w:color w:val="auto"/>
          <w:highlight w:val="none"/>
        </w:rPr>
      </w:pPr>
      <w:r>
        <w:rPr>
          <w:rFonts w:hint="eastAsia"/>
          <w:color w:val="auto"/>
          <w:highlight w:val="none"/>
        </w:rPr>
        <w:t>混凝土模块化建筑安装施工前应针对混凝土模块化建筑的施工要点和难点制定施工组织设计和配套的专项施工方案，并应按照《上海市建设工程危险性较大的分部分项工程安全管理实施细则》（沪住建规范15号）的有关规定执行。</w:t>
      </w:r>
    </w:p>
    <w:p>
      <w:pPr>
        <w:numPr>
          <w:ilvl w:val="0"/>
          <w:numId w:val="29"/>
        </w:numPr>
        <w:rPr>
          <w:color w:val="auto"/>
          <w:highlight w:val="none"/>
        </w:rPr>
      </w:pPr>
      <w:r>
        <w:rPr>
          <w:rFonts w:hint="eastAsia"/>
          <w:color w:val="auto"/>
          <w:highlight w:val="none"/>
        </w:rPr>
        <w:t>建设场地平面布置应充分考虑大型起重机设备布置空间、作业空间、作业半径、模块单元现场临时堆放以及现场交通组织等因素，做到协同有序，安全便捷。</w:t>
      </w:r>
    </w:p>
    <w:p>
      <w:pPr>
        <w:numPr>
          <w:ilvl w:val="0"/>
          <w:numId w:val="29"/>
        </w:numPr>
        <w:rPr>
          <w:color w:val="auto"/>
          <w:highlight w:val="none"/>
        </w:rPr>
      </w:pPr>
      <w:r>
        <w:rPr>
          <w:rFonts w:hint="eastAsia"/>
          <w:color w:val="auto"/>
          <w:highlight w:val="none"/>
        </w:rPr>
        <w:t>安装施工前，宜选择有代表性的模块单元进行样板间试安装，并根据试安装结果及时调整完善施工工艺和方案。</w:t>
      </w:r>
    </w:p>
    <w:p>
      <w:pPr>
        <w:numPr>
          <w:ilvl w:val="0"/>
          <w:numId w:val="29"/>
        </w:numPr>
        <w:rPr>
          <w:color w:val="auto"/>
          <w:highlight w:val="none"/>
        </w:rPr>
      </w:pPr>
      <w:r>
        <w:rPr>
          <w:rFonts w:hint="eastAsia"/>
          <w:color w:val="auto"/>
          <w:highlight w:val="none"/>
        </w:rPr>
        <w:t>安装施工作业人员在上岗前应进行技术培训，并宜具备相关从业资格证明，特种设备操作人员须持证上岗。</w:t>
      </w:r>
    </w:p>
    <w:p>
      <w:pPr>
        <w:numPr>
          <w:ilvl w:val="0"/>
          <w:numId w:val="29"/>
        </w:numPr>
        <w:rPr>
          <w:color w:val="auto"/>
          <w:highlight w:val="none"/>
        </w:rPr>
      </w:pPr>
      <w:r>
        <w:rPr>
          <w:rFonts w:hint="eastAsia"/>
          <w:color w:val="auto"/>
          <w:highlight w:val="none"/>
        </w:rPr>
        <w:t>安装及拆除作业所用吊装设备应根据模块单元重量、设备性能、场地条件、吊装方案等综合选择，作业前应完成验收。现场临时道路及设备作业点的承载力应满足吊装设备的使用要求。</w:t>
      </w:r>
    </w:p>
    <w:p>
      <w:pPr>
        <w:numPr>
          <w:ilvl w:val="0"/>
          <w:numId w:val="29"/>
        </w:numPr>
        <w:rPr>
          <w:color w:val="auto"/>
          <w:highlight w:val="none"/>
        </w:rPr>
      </w:pPr>
      <w:r>
        <w:rPr>
          <w:rFonts w:hint="eastAsia"/>
          <w:color w:val="auto"/>
          <w:highlight w:val="none"/>
        </w:rPr>
        <w:t>吊索具及专用工机具应根据模块单元形状、尺寸及重量合理选择，作业前应完成验收，使用时不得超过额定许用荷载。</w:t>
      </w:r>
    </w:p>
    <w:p>
      <w:pPr>
        <w:numPr>
          <w:ilvl w:val="0"/>
          <w:numId w:val="29"/>
        </w:numPr>
        <w:rPr>
          <w:color w:val="auto"/>
          <w:highlight w:val="none"/>
        </w:rPr>
      </w:pPr>
      <w:r>
        <w:rPr>
          <w:rFonts w:hint="eastAsia"/>
          <w:color w:val="auto"/>
          <w:highlight w:val="none"/>
        </w:rPr>
        <w:t>安装、拆除方案宜采用建筑信息模型（BIM）技术进行虚拟建造与检验。</w:t>
      </w:r>
    </w:p>
    <w:p>
      <w:pPr>
        <w:pStyle w:val="4"/>
        <w:rPr>
          <w:color w:val="auto"/>
          <w:highlight w:val="none"/>
        </w:rPr>
      </w:pPr>
      <w:bookmarkStart w:id="1213" w:name="_Toc32134"/>
      <w:bookmarkStart w:id="1214" w:name="_Toc20818"/>
      <w:bookmarkStart w:id="1215" w:name="_Toc2396"/>
      <w:bookmarkStart w:id="1216" w:name="_Toc8304"/>
      <w:bookmarkStart w:id="1217" w:name="_Toc26913"/>
      <w:bookmarkStart w:id="1218" w:name="_Toc4823"/>
      <w:bookmarkStart w:id="1219" w:name="_Toc4336"/>
      <w:bookmarkStart w:id="1220" w:name="_Toc23620"/>
      <w:bookmarkStart w:id="1221" w:name="_Toc14987"/>
      <w:bookmarkStart w:id="1222" w:name="_Toc31710"/>
      <w:bookmarkStart w:id="1223" w:name="_Toc26262"/>
      <w:bookmarkStart w:id="1224" w:name="_Toc23090"/>
      <w:bookmarkStart w:id="1225" w:name="_Toc22882"/>
      <w:bookmarkStart w:id="1226" w:name="_Toc20257"/>
      <w:bookmarkStart w:id="1227" w:name="_Toc23845"/>
      <w:bookmarkStart w:id="1228" w:name="_Toc11449"/>
      <w:bookmarkStart w:id="1229" w:name="_Toc1861"/>
      <w:bookmarkStart w:id="1230" w:name="_Toc11457"/>
      <w:bookmarkStart w:id="1231" w:name="_Toc31397"/>
      <w:bookmarkStart w:id="1232" w:name="_Toc3414"/>
      <w:bookmarkStart w:id="1233" w:name="_Toc32347"/>
      <w:bookmarkStart w:id="1234" w:name="_Toc195"/>
      <w:bookmarkStart w:id="1235" w:name="_Toc16572"/>
      <w:bookmarkStart w:id="1236" w:name="_Toc21609"/>
      <w:bookmarkStart w:id="1237" w:name="_Toc4138"/>
      <w:bookmarkStart w:id="1238" w:name="_Toc10840"/>
      <w:bookmarkStart w:id="1239" w:name="_Toc27601"/>
      <w:bookmarkStart w:id="1240" w:name="_Toc18080"/>
      <w:bookmarkStart w:id="1241" w:name="_Toc4228"/>
      <w:bookmarkStart w:id="1242" w:name="_Toc32114"/>
      <w:bookmarkStart w:id="1243" w:name="_Toc6716"/>
      <w:bookmarkStart w:id="1244" w:name="_Toc4609"/>
      <w:bookmarkStart w:id="1245" w:name="_Toc23316"/>
      <w:r>
        <w:rPr>
          <w:rFonts w:hint="eastAsia"/>
          <w:b/>
          <w:bCs w:val="0"/>
          <w:color w:val="auto"/>
          <w:highlight w:val="none"/>
        </w:rPr>
        <w:t>9</w:t>
      </w:r>
      <w:r>
        <w:rPr>
          <w:rFonts w:hint="eastAsia" w:ascii="仿宋" w:hAnsi="仿宋" w:eastAsia="仿宋" w:cs="仿宋"/>
          <w:b/>
          <w:bCs w:val="0"/>
          <w:color w:val="auto"/>
          <w:highlight w:val="none"/>
        </w:rPr>
        <w:t>.</w:t>
      </w:r>
      <w:r>
        <w:rPr>
          <w:rFonts w:hint="eastAsia"/>
          <w:b/>
          <w:bCs w:val="0"/>
          <w:color w:val="auto"/>
          <w:highlight w:val="none"/>
        </w:rPr>
        <w:t>2</w:t>
      </w:r>
      <w:r>
        <w:rPr>
          <w:color w:val="auto"/>
          <w:highlight w:val="none"/>
        </w:rPr>
        <w:t xml:space="preserve">  </w:t>
      </w:r>
      <w:r>
        <w:rPr>
          <w:rFonts w:hint="eastAsia"/>
          <w:color w:val="auto"/>
          <w:highlight w:val="none"/>
        </w:rPr>
        <w:t>现场</w:t>
      </w:r>
      <w:r>
        <w:rPr>
          <w:color w:val="auto"/>
          <w:highlight w:val="none"/>
        </w:rPr>
        <w:t>安装</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p>
    <w:p>
      <w:pPr>
        <w:numPr>
          <w:ilvl w:val="0"/>
          <w:numId w:val="30"/>
        </w:numPr>
        <w:tabs>
          <w:tab w:val="left" w:pos="0"/>
        </w:tabs>
        <w:rPr>
          <w:color w:val="auto"/>
          <w:highlight w:val="none"/>
        </w:rPr>
      </w:pPr>
      <w:r>
        <w:rPr>
          <w:rFonts w:hint="eastAsia"/>
          <w:color w:val="auto"/>
          <w:highlight w:val="none"/>
        </w:rPr>
        <w:t>安装施工前，应确保吊装条件和施工作业面满足要求，并应进行下列工作：</w:t>
      </w:r>
    </w:p>
    <w:p>
      <w:pPr>
        <w:ind w:firstLine="440" w:firstLineChars="200"/>
        <w:rPr>
          <w:rFonts w:eastAsia="PMingLiU"/>
          <w:bCs/>
          <w:color w:val="auto"/>
          <w:highlight w:val="none"/>
        </w:rPr>
      </w:pPr>
      <w:r>
        <w:rPr>
          <w:rFonts w:eastAsia="PMingLiU"/>
          <w:b/>
          <w:bCs/>
          <w:color w:val="auto"/>
          <w:highlight w:val="none"/>
        </w:rPr>
        <w:t xml:space="preserve">1  </w:t>
      </w:r>
      <w:r>
        <w:rPr>
          <w:rFonts w:hint="eastAsia"/>
          <w:bCs/>
          <w:color w:val="auto"/>
          <w:highlight w:val="none"/>
        </w:rPr>
        <w:t>应核实现场环境、天气、道路状况等是否满足吊装施工要求；</w:t>
      </w:r>
    </w:p>
    <w:p>
      <w:pPr>
        <w:ind w:firstLine="440" w:firstLineChars="200"/>
        <w:rPr>
          <w:bCs/>
          <w:color w:val="auto"/>
          <w:highlight w:val="none"/>
        </w:rPr>
      </w:pPr>
      <w:r>
        <w:rPr>
          <w:rFonts w:eastAsia="PMingLiU"/>
          <w:b/>
          <w:bCs/>
          <w:color w:val="auto"/>
          <w:highlight w:val="none"/>
        </w:rPr>
        <w:t xml:space="preserve">2  </w:t>
      </w:r>
      <w:r>
        <w:rPr>
          <w:rFonts w:hint="eastAsia"/>
          <w:bCs/>
          <w:color w:val="auto"/>
          <w:highlight w:val="none"/>
        </w:rPr>
        <w:t>应复核吊装设备及吊具是否处于安全操作状态，并</w:t>
      </w:r>
      <w:r>
        <w:rPr>
          <w:rFonts w:hint="eastAsia"/>
          <w:color w:val="auto"/>
          <w:highlight w:val="none"/>
        </w:rPr>
        <w:t>应严格按照吊装方案选择吊具挂点；</w:t>
      </w:r>
    </w:p>
    <w:p>
      <w:pPr>
        <w:ind w:firstLine="440" w:firstLineChars="200"/>
        <w:rPr>
          <w:rFonts w:eastAsia="PMingLiU"/>
          <w:bCs/>
          <w:color w:val="auto"/>
          <w:highlight w:val="none"/>
        </w:rPr>
      </w:pPr>
      <w:r>
        <w:rPr>
          <w:rFonts w:eastAsia="PMingLiU"/>
          <w:b/>
          <w:bCs/>
          <w:color w:val="auto"/>
          <w:highlight w:val="none"/>
        </w:rPr>
        <w:t xml:space="preserve">3  </w:t>
      </w:r>
      <w:r>
        <w:rPr>
          <w:rFonts w:hint="eastAsia"/>
          <w:color w:val="auto"/>
          <w:highlight w:val="none"/>
        </w:rPr>
        <w:t>应核对已施工完成结构、基础的外观质量和尺寸偏差，确认混凝土强度和预留预埋符合设计要求；</w:t>
      </w:r>
    </w:p>
    <w:p>
      <w:pPr>
        <w:ind w:firstLine="440" w:firstLineChars="200"/>
        <w:rPr>
          <w:color w:val="auto"/>
          <w:highlight w:val="none"/>
        </w:rPr>
      </w:pPr>
      <w:r>
        <w:rPr>
          <w:rFonts w:eastAsia="PMingLiU"/>
          <w:b/>
          <w:bCs/>
          <w:color w:val="auto"/>
          <w:highlight w:val="none"/>
        </w:rPr>
        <w:t xml:space="preserve">4  </w:t>
      </w:r>
      <w:r>
        <w:rPr>
          <w:rFonts w:hint="eastAsia"/>
          <w:bCs/>
          <w:color w:val="auto"/>
          <w:highlight w:val="none"/>
        </w:rPr>
        <w:t>应对安装工作面进行测量放线、设置模块</w:t>
      </w:r>
      <w:r>
        <w:rPr>
          <w:rFonts w:hint="eastAsia"/>
          <w:color w:val="auto"/>
          <w:highlight w:val="none"/>
        </w:rPr>
        <w:t>单元</w:t>
      </w:r>
      <w:r>
        <w:rPr>
          <w:rFonts w:hint="eastAsia"/>
          <w:bCs/>
          <w:color w:val="auto"/>
          <w:highlight w:val="none"/>
        </w:rPr>
        <w:t>安装定位标识，</w:t>
      </w:r>
      <w:r>
        <w:rPr>
          <w:rFonts w:hint="eastAsia"/>
          <w:color w:val="auto"/>
          <w:highlight w:val="none"/>
        </w:rPr>
        <w:t>并应对承托模块单元的结构面高程进行复核及验收</w:t>
      </w:r>
      <w:r>
        <w:rPr>
          <w:rFonts w:hint="eastAsia"/>
          <w:bCs/>
          <w:color w:val="auto"/>
          <w:highlight w:val="none"/>
        </w:rPr>
        <w:t>，</w:t>
      </w:r>
      <w:r>
        <w:rPr>
          <w:rFonts w:hint="eastAsia"/>
          <w:color w:val="auto"/>
          <w:highlight w:val="none"/>
        </w:rPr>
        <w:t>测量放线应符合现行国家标准《工程测量标准》</w:t>
      </w:r>
      <w:r>
        <w:rPr>
          <w:rFonts w:eastAsia="Times New Roman"/>
          <w:color w:val="auto"/>
          <w:highlight w:val="none"/>
          <w:lang w:bidi="en-US"/>
        </w:rPr>
        <w:t xml:space="preserve">GB </w:t>
      </w:r>
      <w:r>
        <w:rPr>
          <w:rFonts w:eastAsia="Times New Roman"/>
          <w:color w:val="auto"/>
          <w:highlight w:val="none"/>
        </w:rPr>
        <w:t>50026</w:t>
      </w:r>
      <w:r>
        <w:rPr>
          <w:rFonts w:hint="eastAsia"/>
          <w:color w:val="auto"/>
          <w:highlight w:val="none"/>
        </w:rPr>
        <w:t>有关规定。</w:t>
      </w:r>
    </w:p>
    <w:p>
      <w:pPr>
        <w:numPr>
          <w:ilvl w:val="0"/>
          <w:numId w:val="30"/>
        </w:numPr>
        <w:tabs>
          <w:tab w:val="left" w:pos="0"/>
        </w:tabs>
        <w:rPr>
          <w:color w:val="auto"/>
          <w:highlight w:val="none"/>
        </w:rPr>
      </w:pPr>
      <w:r>
        <w:rPr>
          <w:rFonts w:hint="eastAsia"/>
          <w:color w:val="auto"/>
          <w:highlight w:val="none"/>
        </w:rPr>
        <w:t>模块单元吊装前，应对模块单元进行下列准备工作：</w:t>
      </w:r>
    </w:p>
    <w:p>
      <w:pPr>
        <w:ind w:firstLine="440" w:firstLineChars="200"/>
        <w:rPr>
          <w:rFonts w:eastAsia="PMingLiU"/>
          <w:bCs/>
          <w:color w:val="auto"/>
          <w:highlight w:val="none"/>
        </w:rPr>
      </w:pPr>
      <w:r>
        <w:rPr>
          <w:b/>
          <w:bCs/>
          <w:color w:val="auto"/>
          <w:highlight w:val="none"/>
        </w:rPr>
        <w:t xml:space="preserve">1  </w:t>
      </w:r>
      <w:r>
        <w:rPr>
          <w:rFonts w:hint="eastAsia"/>
          <w:bCs/>
          <w:color w:val="auto"/>
          <w:highlight w:val="none"/>
        </w:rPr>
        <w:t>应复核</w:t>
      </w:r>
      <w:r>
        <w:rPr>
          <w:rFonts w:hint="eastAsia"/>
          <w:color w:val="auto"/>
          <w:highlight w:val="none"/>
        </w:rPr>
        <w:t>预制模块单元型号与标牌是否匹配；</w:t>
      </w:r>
    </w:p>
    <w:p>
      <w:pPr>
        <w:ind w:firstLine="440" w:firstLineChars="200"/>
        <w:rPr>
          <w:bCs/>
          <w:color w:val="auto"/>
          <w:highlight w:val="none"/>
        </w:rPr>
      </w:pPr>
      <w:r>
        <w:rPr>
          <w:rFonts w:hint="eastAsia"/>
          <w:b/>
          <w:bCs/>
          <w:color w:val="auto"/>
          <w:highlight w:val="none"/>
        </w:rPr>
        <w:t>2</w:t>
      </w:r>
      <w:r>
        <w:rPr>
          <w:rFonts w:eastAsia="PMingLiU"/>
          <w:b/>
          <w:bCs/>
          <w:color w:val="auto"/>
          <w:highlight w:val="none"/>
        </w:rPr>
        <w:t xml:space="preserve">  </w:t>
      </w:r>
      <w:r>
        <w:rPr>
          <w:rFonts w:hint="eastAsia"/>
          <w:bCs/>
          <w:color w:val="auto"/>
          <w:highlight w:val="none"/>
        </w:rPr>
        <w:t>应复核预制模块薄弱部位的临时加固措施，模块</w:t>
      </w:r>
      <w:r>
        <w:rPr>
          <w:rFonts w:hint="eastAsia"/>
          <w:color w:val="auto"/>
          <w:highlight w:val="none"/>
        </w:rPr>
        <w:t>单元</w:t>
      </w:r>
      <w:r>
        <w:rPr>
          <w:rFonts w:hint="eastAsia"/>
          <w:bCs/>
          <w:color w:val="auto"/>
          <w:highlight w:val="none"/>
        </w:rPr>
        <w:t>应满足吊装施工的刚度和稳定性要求；</w:t>
      </w:r>
    </w:p>
    <w:p>
      <w:pPr>
        <w:ind w:firstLine="440" w:firstLineChars="200"/>
        <w:rPr>
          <w:color w:val="auto"/>
          <w:highlight w:val="none"/>
        </w:rPr>
      </w:pPr>
      <w:r>
        <w:rPr>
          <w:rFonts w:hint="eastAsia"/>
          <w:b/>
          <w:bCs/>
          <w:color w:val="auto"/>
          <w:highlight w:val="none"/>
        </w:rPr>
        <w:t>3</w:t>
      </w:r>
      <w:r>
        <w:rPr>
          <w:rFonts w:eastAsia="PMingLiU"/>
          <w:b/>
          <w:bCs/>
          <w:color w:val="auto"/>
          <w:highlight w:val="none"/>
        </w:rPr>
        <w:t xml:space="preserve">  </w:t>
      </w:r>
      <w:r>
        <w:rPr>
          <w:rFonts w:hint="eastAsia"/>
          <w:color w:val="auto"/>
          <w:highlight w:val="none"/>
        </w:rPr>
        <w:t>应对模块单元进行测量划线，并在模块单元上绘制安装定位标记和对齐墨线。</w:t>
      </w:r>
    </w:p>
    <w:p>
      <w:pPr>
        <w:numPr>
          <w:ilvl w:val="0"/>
          <w:numId w:val="30"/>
        </w:numPr>
        <w:rPr>
          <w:color w:val="auto"/>
          <w:highlight w:val="none"/>
        </w:rPr>
      </w:pPr>
      <w:r>
        <w:rPr>
          <w:rFonts w:hint="eastAsia"/>
          <w:color w:val="auto"/>
          <w:highlight w:val="none"/>
        </w:rPr>
        <w:t>模块单元的安装应符合下列规定：</w:t>
      </w:r>
    </w:p>
    <w:p>
      <w:pPr>
        <w:ind w:firstLine="440" w:firstLineChars="200"/>
        <w:rPr>
          <w:color w:val="auto"/>
          <w:highlight w:val="none"/>
        </w:rPr>
      </w:pPr>
      <w:r>
        <w:rPr>
          <w:rFonts w:eastAsia="PMingLiU"/>
          <w:b/>
          <w:color w:val="auto"/>
          <w:highlight w:val="none"/>
        </w:rPr>
        <w:t xml:space="preserve">1  </w:t>
      </w:r>
      <w:r>
        <w:rPr>
          <w:rFonts w:hint="eastAsia"/>
          <w:color w:val="auto"/>
          <w:highlight w:val="none"/>
        </w:rPr>
        <w:t>宜根据建筑物的平面形状、结构形式、安装机械的规格、数量、现场施工条件等因素，划分吊装流水段，确定安装顺序，并按拟定的吊装顺序进行吊装；</w:t>
      </w:r>
    </w:p>
    <w:p>
      <w:pPr>
        <w:ind w:firstLine="440" w:firstLineChars="200"/>
        <w:rPr>
          <w:rFonts w:eastAsia="PMingLiU"/>
          <w:color w:val="auto"/>
          <w:highlight w:val="none"/>
        </w:rPr>
      </w:pPr>
      <w:r>
        <w:rPr>
          <w:rFonts w:eastAsia="PMingLiU"/>
          <w:b/>
          <w:bCs/>
          <w:color w:val="auto"/>
          <w:highlight w:val="none"/>
        </w:rPr>
        <w:t xml:space="preserve">2  </w:t>
      </w:r>
      <w:r>
        <w:rPr>
          <w:rFonts w:hint="eastAsia"/>
          <w:color w:val="auto"/>
          <w:highlight w:val="none"/>
        </w:rPr>
        <w:t>模块单元安装时，应先调整标高，再调整中心水平位移，最后调整垂直偏差；</w:t>
      </w:r>
    </w:p>
    <w:p>
      <w:pPr>
        <w:ind w:firstLine="440" w:firstLineChars="200"/>
        <w:rPr>
          <w:color w:val="auto"/>
          <w:highlight w:val="none"/>
        </w:rPr>
      </w:pPr>
      <w:bookmarkStart w:id="1246" w:name="_Toc17640"/>
      <w:bookmarkStart w:id="1247" w:name="_Toc23570"/>
      <w:r>
        <w:rPr>
          <w:rFonts w:eastAsia="PMingLiU"/>
          <w:b/>
          <w:bCs/>
          <w:color w:val="auto"/>
          <w:highlight w:val="none"/>
        </w:rPr>
        <w:t xml:space="preserve">3  </w:t>
      </w:r>
      <w:r>
        <w:rPr>
          <w:rFonts w:hint="eastAsia"/>
          <w:color w:val="auto"/>
          <w:highlight w:val="none"/>
        </w:rPr>
        <w:t>预制模块在吊装过程中，应设置缆风绳控制模块单元转动；</w:t>
      </w:r>
      <w:bookmarkEnd w:id="1246"/>
      <w:bookmarkEnd w:id="1247"/>
    </w:p>
    <w:p>
      <w:pPr>
        <w:ind w:firstLine="440" w:firstLineChars="200"/>
        <w:rPr>
          <w:rFonts w:eastAsia="PMingLiU"/>
          <w:color w:val="auto"/>
          <w:highlight w:val="none"/>
        </w:rPr>
      </w:pPr>
      <w:r>
        <w:rPr>
          <w:b/>
          <w:color w:val="auto"/>
          <w:highlight w:val="none"/>
        </w:rPr>
        <w:t xml:space="preserve">4  </w:t>
      </w:r>
      <w:r>
        <w:rPr>
          <w:rFonts w:hint="eastAsia"/>
          <w:color w:val="auto"/>
          <w:highlight w:val="none"/>
        </w:rPr>
        <w:t>模块单元临时安装时应进行风荷载抗倾覆验算，对于抗倾覆验算不满足要求的，应增加临时支撑；</w:t>
      </w:r>
    </w:p>
    <w:p>
      <w:pPr>
        <w:ind w:firstLine="440" w:firstLineChars="200"/>
        <w:rPr>
          <w:color w:val="auto"/>
          <w:highlight w:val="none"/>
        </w:rPr>
      </w:pPr>
      <w:r>
        <w:rPr>
          <w:rFonts w:eastAsia="PMingLiU"/>
          <w:b/>
          <w:bCs/>
          <w:color w:val="auto"/>
          <w:highlight w:val="none"/>
        </w:rPr>
        <w:t xml:space="preserve">5  </w:t>
      </w:r>
      <w:r>
        <w:rPr>
          <w:rFonts w:hint="eastAsia"/>
          <w:color w:val="auto"/>
          <w:highlight w:val="none"/>
        </w:rPr>
        <w:t>模块单元在安装过程中损坏的涂层以及安装连接部位，应按现行国家标准《混凝土结构工程施工质量验收规范》</w:t>
      </w:r>
      <w:r>
        <w:rPr>
          <w:color w:val="auto"/>
          <w:highlight w:val="none"/>
        </w:rPr>
        <w:t>GB 50204</w:t>
      </w:r>
      <w:r>
        <w:rPr>
          <w:rFonts w:hint="eastAsia"/>
          <w:color w:val="auto"/>
          <w:highlight w:val="none"/>
        </w:rPr>
        <w:t>的有关规定进行修补。</w:t>
      </w:r>
    </w:p>
    <w:p>
      <w:pPr>
        <w:numPr>
          <w:ilvl w:val="0"/>
          <w:numId w:val="30"/>
        </w:numPr>
        <w:ind w:left="0" w:firstLine="0"/>
        <w:rPr>
          <w:color w:val="auto"/>
          <w:highlight w:val="none"/>
        </w:rPr>
      </w:pPr>
      <w:r>
        <w:rPr>
          <w:rFonts w:hint="eastAsia"/>
          <w:color w:val="auto"/>
          <w:highlight w:val="none"/>
        </w:rPr>
        <w:t>模块单元安装时，混凝土模块底部与混凝土楼板之间应设置校平垫片。校平垫片应符合下列规定：</w:t>
      </w:r>
    </w:p>
    <w:p>
      <w:pPr>
        <w:ind w:firstLine="440" w:firstLineChars="200"/>
        <w:rPr>
          <w:color w:val="auto"/>
          <w:highlight w:val="none"/>
        </w:rPr>
      </w:pPr>
      <w:r>
        <w:rPr>
          <w:b/>
          <w:bCs/>
          <w:color w:val="auto"/>
          <w:highlight w:val="none"/>
        </w:rPr>
        <w:t xml:space="preserve">1  </w:t>
      </w:r>
      <w:r>
        <w:rPr>
          <w:rFonts w:hint="eastAsia"/>
          <w:color w:val="auto"/>
          <w:highlight w:val="none"/>
        </w:rPr>
        <w:t>校平垫片应采用耐用材料、并应具备足够强度，满足承重要求；</w:t>
      </w:r>
    </w:p>
    <w:p>
      <w:pPr>
        <w:ind w:firstLine="440" w:firstLineChars="200"/>
        <w:rPr>
          <w:color w:val="auto"/>
          <w:highlight w:val="none"/>
        </w:rPr>
      </w:pPr>
      <w:r>
        <w:rPr>
          <w:b/>
          <w:bCs/>
          <w:color w:val="auto"/>
          <w:highlight w:val="none"/>
        </w:rPr>
        <w:t xml:space="preserve">2  </w:t>
      </w:r>
      <w:r>
        <w:rPr>
          <w:rFonts w:hint="eastAsia"/>
          <w:color w:val="auto"/>
          <w:highlight w:val="none"/>
        </w:rPr>
        <w:t>校平垫片根据设计要求宜放置在模块单元刚度较大部位；</w:t>
      </w:r>
    </w:p>
    <w:p>
      <w:pPr>
        <w:ind w:firstLine="440" w:firstLineChars="200"/>
        <w:rPr>
          <w:color w:val="auto"/>
          <w:highlight w:val="none"/>
        </w:rPr>
      </w:pPr>
      <w:r>
        <w:rPr>
          <w:b/>
          <w:bCs/>
          <w:color w:val="auto"/>
          <w:highlight w:val="none"/>
        </w:rPr>
        <w:t xml:space="preserve">3  </w:t>
      </w:r>
      <w:r>
        <w:rPr>
          <w:rFonts w:hint="eastAsia"/>
          <w:color w:val="auto"/>
          <w:highlight w:val="none"/>
        </w:rPr>
        <w:t>校平垫片在模块单元安装、连接全过程中应防止模块单元移动。</w:t>
      </w:r>
    </w:p>
    <w:p>
      <w:pPr>
        <w:numPr>
          <w:ilvl w:val="0"/>
          <w:numId w:val="30"/>
        </w:numPr>
        <w:rPr>
          <w:color w:val="auto"/>
          <w:highlight w:val="none"/>
        </w:rPr>
      </w:pPr>
      <w:r>
        <w:rPr>
          <w:rFonts w:hint="eastAsia"/>
          <w:color w:val="auto"/>
          <w:highlight w:val="none"/>
        </w:rPr>
        <w:t>模块单元安装偏差的检测，应在结构形成空间刚度单元并连接固定后进行，安装尺寸偏差及检验方法应符合表9.2.5的规定。</w:t>
      </w:r>
    </w:p>
    <w:p>
      <w:pPr>
        <w:autoSpaceDE w:val="0"/>
        <w:autoSpaceDN w:val="0"/>
        <w:adjustRightInd w:val="0"/>
        <w:ind w:left="190"/>
        <w:jc w:val="center"/>
        <w:rPr>
          <w:rFonts w:eastAsia="仿宋"/>
          <w:b/>
          <w:bCs/>
          <w:color w:val="auto"/>
          <w:kern w:val="0"/>
          <w:szCs w:val="24"/>
          <w:highlight w:val="none"/>
        </w:rPr>
      </w:pPr>
      <w:r>
        <w:rPr>
          <w:rFonts w:eastAsia="仿宋"/>
          <w:b/>
          <w:bCs/>
          <w:color w:val="auto"/>
          <w:kern w:val="0"/>
          <w:szCs w:val="24"/>
          <w:highlight w:val="none"/>
        </w:rPr>
        <w:t>表</w:t>
      </w:r>
      <w:r>
        <w:rPr>
          <w:rFonts w:eastAsia="仿宋"/>
          <w:b/>
          <w:bCs/>
          <w:color w:val="auto"/>
          <w:kern w:val="0"/>
          <w:szCs w:val="24"/>
          <w:highlight w:val="none"/>
          <w:lang w:bidi="en-US"/>
        </w:rPr>
        <w:t>9</w:t>
      </w:r>
      <w:r>
        <w:rPr>
          <w:rFonts w:hint="eastAsia" w:ascii="仿宋" w:hAnsi="仿宋" w:eastAsia="仿宋" w:cs="仿宋"/>
          <w:b/>
          <w:bCs/>
          <w:color w:val="auto"/>
          <w:kern w:val="0"/>
          <w:szCs w:val="24"/>
          <w:highlight w:val="none"/>
          <w:lang w:bidi="en-US"/>
        </w:rPr>
        <w:t>.</w:t>
      </w:r>
      <w:r>
        <w:rPr>
          <w:rFonts w:eastAsia="仿宋"/>
          <w:b/>
          <w:bCs/>
          <w:color w:val="auto"/>
          <w:kern w:val="0"/>
          <w:szCs w:val="24"/>
          <w:highlight w:val="none"/>
          <w:lang w:bidi="en-US"/>
        </w:rPr>
        <w:t>2</w:t>
      </w:r>
      <w:r>
        <w:rPr>
          <w:rFonts w:hint="eastAsia" w:ascii="仿宋" w:hAnsi="仿宋" w:eastAsia="仿宋" w:cs="仿宋"/>
          <w:b/>
          <w:bCs/>
          <w:color w:val="auto"/>
          <w:kern w:val="0"/>
          <w:szCs w:val="24"/>
          <w:highlight w:val="none"/>
          <w:lang w:bidi="en-US"/>
        </w:rPr>
        <w:t>.</w:t>
      </w:r>
      <w:r>
        <w:rPr>
          <w:rFonts w:eastAsia="仿宋"/>
          <w:b/>
          <w:bCs/>
          <w:color w:val="auto"/>
          <w:kern w:val="0"/>
          <w:szCs w:val="24"/>
          <w:highlight w:val="none"/>
          <w:lang w:bidi="en-US"/>
        </w:rPr>
        <w:t>5</w:t>
      </w:r>
      <w:r>
        <w:rPr>
          <w:rFonts w:eastAsia="仿宋"/>
          <w:b/>
          <w:bCs/>
          <w:color w:val="auto"/>
          <w:kern w:val="0"/>
          <w:szCs w:val="24"/>
          <w:highlight w:val="none"/>
        </w:rPr>
        <w:t xml:space="preserve">  模块</w:t>
      </w:r>
      <w:r>
        <w:rPr>
          <w:rFonts w:hint="eastAsia" w:eastAsia="仿宋"/>
          <w:b/>
          <w:bCs/>
          <w:color w:val="auto"/>
          <w:kern w:val="0"/>
          <w:szCs w:val="24"/>
          <w:highlight w:val="none"/>
        </w:rPr>
        <w:t>单元</w:t>
      </w:r>
      <w:r>
        <w:rPr>
          <w:rFonts w:eastAsia="仿宋"/>
          <w:b/>
          <w:bCs/>
          <w:color w:val="auto"/>
          <w:kern w:val="0"/>
          <w:szCs w:val="24"/>
          <w:highlight w:val="none"/>
        </w:rPr>
        <w:t>安裝尺寸的允许偏差及检验方法</w:t>
      </w:r>
    </w:p>
    <w:tbl>
      <w:tblPr>
        <w:tblStyle w:val="24"/>
        <w:tblW w:w="9072" w:type="dxa"/>
        <w:jc w:val="center"/>
        <w:tblLayout w:type="autofit"/>
        <w:tblCellMar>
          <w:top w:w="0" w:type="dxa"/>
          <w:left w:w="10" w:type="dxa"/>
          <w:bottom w:w="0" w:type="dxa"/>
          <w:right w:w="10" w:type="dxa"/>
        </w:tblCellMar>
      </w:tblPr>
      <w:tblGrid>
        <w:gridCol w:w="1722"/>
        <w:gridCol w:w="2952"/>
        <w:gridCol w:w="1223"/>
        <w:gridCol w:w="3175"/>
      </w:tblGrid>
      <w:tr>
        <w:tblPrEx>
          <w:tblCellMar>
            <w:top w:w="0" w:type="dxa"/>
            <w:left w:w="10" w:type="dxa"/>
            <w:bottom w:w="0" w:type="dxa"/>
            <w:right w:w="10" w:type="dxa"/>
          </w:tblCellMar>
        </w:tblPrEx>
        <w:trPr>
          <w:trHeight w:val="680" w:hRule="exact"/>
          <w:jc w:val="center"/>
        </w:trPr>
        <w:tc>
          <w:tcPr>
            <w:tcW w:w="2576" w:type="pct"/>
            <w:gridSpan w:val="2"/>
            <w:tcBorders>
              <w:top w:val="single" w:color="auto" w:sz="12" w:space="0"/>
              <w:left w:val="single" w:color="auto" w:sz="12" w:space="0"/>
            </w:tcBorders>
            <w:shd w:val="clear" w:color="auto" w:fill="FFFFFF"/>
            <w:vAlign w:val="center"/>
          </w:tcPr>
          <w:p>
            <w:pPr>
              <w:autoSpaceDE w:val="0"/>
              <w:autoSpaceDN w:val="0"/>
              <w:adjustRightInd w:val="0"/>
              <w:snapToGrid w:val="0"/>
              <w:jc w:val="center"/>
              <w:rPr>
                <w:rFonts w:eastAsia="仿宋"/>
                <w:color w:val="auto"/>
                <w:kern w:val="0"/>
                <w:szCs w:val="21"/>
                <w:highlight w:val="none"/>
              </w:rPr>
            </w:pPr>
            <w:r>
              <w:rPr>
                <w:rFonts w:eastAsia="仿宋"/>
                <w:color w:val="auto"/>
                <w:kern w:val="0"/>
                <w:szCs w:val="21"/>
                <w:highlight w:val="none"/>
              </w:rPr>
              <w:t>项目</w:t>
            </w:r>
          </w:p>
        </w:tc>
        <w:tc>
          <w:tcPr>
            <w:tcW w:w="674" w:type="pct"/>
            <w:tcBorders>
              <w:top w:val="single" w:color="auto" w:sz="12" w:space="0"/>
              <w:left w:val="single" w:color="auto" w:sz="4" w:space="0"/>
            </w:tcBorders>
            <w:shd w:val="clear" w:color="auto" w:fill="FFFFFF"/>
            <w:vAlign w:val="center"/>
          </w:tcPr>
          <w:p>
            <w:pPr>
              <w:autoSpaceDE w:val="0"/>
              <w:autoSpaceDN w:val="0"/>
              <w:adjustRightInd w:val="0"/>
              <w:snapToGrid w:val="0"/>
              <w:jc w:val="center"/>
              <w:rPr>
                <w:rFonts w:eastAsia="仿宋"/>
                <w:color w:val="auto"/>
                <w:kern w:val="0"/>
                <w:szCs w:val="21"/>
                <w:highlight w:val="none"/>
              </w:rPr>
            </w:pPr>
            <w:r>
              <w:rPr>
                <w:rFonts w:eastAsia="仿宋"/>
                <w:color w:val="auto"/>
                <w:kern w:val="0"/>
                <w:szCs w:val="21"/>
                <w:highlight w:val="none"/>
              </w:rPr>
              <w:t>允许偏差</w:t>
            </w:r>
          </w:p>
          <w:p>
            <w:pPr>
              <w:autoSpaceDE w:val="0"/>
              <w:autoSpaceDN w:val="0"/>
              <w:adjustRightInd w:val="0"/>
              <w:snapToGrid w:val="0"/>
              <w:jc w:val="center"/>
              <w:rPr>
                <w:rFonts w:eastAsia="仿宋"/>
                <w:color w:val="auto"/>
                <w:kern w:val="0"/>
                <w:szCs w:val="21"/>
                <w:highlight w:val="none"/>
              </w:rPr>
            </w:pPr>
            <w:r>
              <w:rPr>
                <w:rFonts w:eastAsia="仿宋"/>
                <w:color w:val="auto"/>
                <w:kern w:val="0"/>
                <w:szCs w:val="21"/>
                <w:highlight w:val="none"/>
                <w:lang w:eastAsia="en-US" w:bidi="en-US"/>
              </w:rPr>
              <w:t>（mm）</w:t>
            </w:r>
          </w:p>
        </w:tc>
        <w:tc>
          <w:tcPr>
            <w:tcW w:w="1750" w:type="pct"/>
            <w:tcBorders>
              <w:top w:val="single" w:color="auto" w:sz="12" w:space="0"/>
              <w:left w:val="single" w:color="auto" w:sz="4" w:space="0"/>
              <w:right w:val="single" w:color="auto" w:sz="12" w:space="0"/>
            </w:tcBorders>
            <w:shd w:val="clear" w:color="auto" w:fill="FFFFFF"/>
            <w:vAlign w:val="center"/>
          </w:tcPr>
          <w:p>
            <w:pPr>
              <w:autoSpaceDE w:val="0"/>
              <w:autoSpaceDN w:val="0"/>
              <w:adjustRightInd w:val="0"/>
              <w:snapToGrid w:val="0"/>
              <w:jc w:val="center"/>
              <w:rPr>
                <w:rFonts w:eastAsia="仿宋"/>
                <w:color w:val="auto"/>
                <w:kern w:val="0"/>
                <w:szCs w:val="21"/>
                <w:highlight w:val="none"/>
              </w:rPr>
            </w:pPr>
            <w:r>
              <w:rPr>
                <w:rFonts w:eastAsia="仿宋"/>
                <w:color w:val="auto"/>
                <w:kern w:val="0"/>
                <w:szCs w:val="21"/>
                <w:highlight w:val="none"/>
              </w:rPr>
              <w:t>检验方法</w:t>
            </w:r>
          </w:p>
        </w:tc>
      </w:tr>
      <w:tr>
        <w:tblPrEx>
          <w:tblCellMar>
            <w:top w:w="0" w:type="dxa"/>
            <w:left w:w="10" w:type="dxa"/>
            <w:bottom w:w="0" w:type="dxa"/>
            <w:right w:w="10" w:type="dxa"/>
          </w:tblCellMar>
        </w:tblPrEx>
        <w:trPr>
          <w:trHeight w:val="293" w:hRule="exact"/>
          <w:jc w:val="center"/>
        </w:trPr>
        <w:tc>
          <w:tcPr>
            <w:tcW w:w="949" w:type="pct"/>
            <w:vMerge w:val="restart"/>
            <w:tcBorders>
              <w:top w:val="single" w:color="auto" w:sz="4" w:space="0"/>
              <w:left w:val="single" w:color="auto" w:sz="12" w:space="0"/>
            </w:tcBorders>
            <w:shd w:val="clear" w:color="auto" w:fill="FFFFFF"/>
            <w:vAlign w:val="center"/>
          </w:tcPr>
          <w:p>
            <w:pPr>
              <w:autoSpaceDE w:val="0"/>
              <w:autoSpaceDN w:val="0"/>
              <w:adjustRightInd w:val="0"/>
              <w:snapToGrid w:val="0"/>
              <w:jc w:val="center"/>
              <w:rPr>
                <w:rFonts w:eastAsia="仿宋"/>
                <w:color w:val="auto"/>
                <w:kern w:val="0"/>
                <w:szCs w:val="21"/>
                <w:highlight w:val="none"/>
              </w:rPr>
            </w:pPr>
            <w:r>
              <w:rPr>
                <w:rFonts w:eastAsia="仿宋"/>
                <w:color w:val="auto"/>
                <w:kern w:val="0"/>
                <w:szCs w:val="21"/>
                <w:highlight w:val="none"/>
              </w:rPr>
              <w:t>模块轮廓线偏移</w:t>
            </w:r>
          </w:p>
        </w:tc>
        <w:tc>
          <w:tcPr>
            <w:tcW w:w="1627" w:type="pct"/>
            <w:tcBorders>
              <w:top w:val="single" w:color="auto" w:sz="4" w:space="0"/>
              <w:left w:val="single" w:color="auto" w:sz="4" w:space="0"/>
            </w:tcBorders>
            <w:shd w:val="clear" w:color="auto" w:fill="FFFFFF"/>
            <w:vAlign w:val="center"/>
          </w:tcPr>
          <w:p>
            <w:pPr>
              <w:autoSpaceDE w:val="0"/>
              <w:autoSpaceDN w:val="0"/>
              <w:adjustRightInd w:val="0"/>
              <w:snapToGrid w:val="0"/>
              <w:jc w:val="center"/>
              <w:rPr>
                <w:rFonts w:eastAsia="仿宋"/>
                <w:color w:val="auto"/>
                <w:kern w:val="0"/>
                <w:szCs w:val="21"/>
                <w:highlight w:val="none"/>
              </w:rPr>
            </w:pPr>
            <w:r>
              <w:rPr>
                <w:rFonts w:eastAsia="仿宋"/>
                <w:color w:val="auto"/>
                <w:kern w:val="0"/>
                <w:szCs w:val="21"/>
                <w:highlight w:val="none"/>
              </w:rPr>
              <w:t>横向</w:t>
            </w:r>
          </w:p>
        </w:tc>
        <w:tc>
          <w:tcPr>
            <w:tcW w:w="674" w:type="pct"/>
            <w:tcBorders>
              <w:top w:val="single" w:color="auto" w:sz="4" w:space="0"/>
              <w:left w:val="single" w:color="auto" w:sz="4" w:space="0"/>
            </w:tcBorders>
            <w:shd w:val="clear" w:color="auto" w:fill="FFFFFF"/>
            <w:vAlign w:val="center"/>
          </w:tcPr>
          <w:p>
            <w:pPr>
              <w:autoSpaceDE w:val="0"/>
              <w:autoSpaceDN w:val="0"/>
              <w:adjustRightInd w:val="0"/>
              <w:snapToGrid w:val="0"/>
              <w:jc w:val="center"/>
              <w:rPr>
                <w:rFonts w:eastAsia="仿宋"/>
                <w:color w:val="auto"/>
                <w:kern w:val="0"/>
                <w:szCs w:val="21"/>
                <w:highlight w:val="none"/>
              </w:rPr>
            </w:pPr>
            <w:r>
              <w:rPr>
                <w:rFonts w:eastAsia="仿宋"/>
                <w:color w:val="auto"/>
                <w:kern w:val="0"/>
                <w:szCs w:val="21"/>
                <w:highlight w:val="none"/>
              </w:rPr>
              <w:t>-10，+5</w:t>
            </w:r>
          </w:p>
        </w:tc>
        <w:tc>
          <w:tcPr>
            <w:tcW w:w="1750" w:type="pct"/>
            <w:vMerge w:val="restart"/>
            <w:tcBorders>
              <w:top w:val="single" w:color="auto" w:sz="4" w:space="0"/>
              <w:left w:val="single" w:color="auto" w:sz="4" w:space="0"/>
              <w:right w:val="single" w:color="auto" w:sz="12" w:space="0"/>
            </w:tcBorders>
            <w:shd w:val="clear" w:color="auto" w:fill="FFFFFF"/>
            <w:vAlign w:val="center"/>
          </w:tcPr>
          <w:p>
            <w:pPr>
              <w:autoSpaceDE w:val="0"/>
              <w:autoSpaceDN w:val="0"/>
              <w:adjustRightInd w:val="0"/>
              <w:snapToGrid w:val="0"/>
              <w:jc w:val="center"/>
              <w:rPr>
                <w:rFonts w:eastAsia="仿宋"/>
                <w:color w:val="auto"/>
                <w:kern w:val="0"/>
                <w:szCs w:val="21"/>
                <w:highlight w:val="none"/>
              </w:rPr>
            </w:pPr>
            <w:r>
              <w:rPr>
                <w:rFonts w:eastAsia="仿宋"/>
                <w:color w:val="auto"/>
                <w:kern w:val="0"/>
                <w:szCs w:val="21"/>
                <w:highlight w:val="none"/>
              </w:rPr>
              <w:t>尺量（轮廓线以内为负值）</w:t>
            </w:r>
          </w:p>
        </w:tc>
      </w:tr>
      <w:tr>
        <w:tblPrEx>
          <w:tblCellMar>
            <w:top w:w="0" w:type="dxa"/>
            <w:left w:w="10" w:type="dxa"/>
            <w:bottom w:w="0" w:type="dxa"/>
            <w:right w:w="10" w:type="dxa"/>
          </w:tblCellMar>
        </w:tblPrEx>
        <w:trPr>
          <w:trHeight w:val="290" w:hRule="exact"/>
          <w:jc w:val="center"/>
        </w:trPr>
        <w:tc>
          <w:tcPr>
            <w:tcW w:w="949" w:type="pct"/>
            <w:vMerge w:val="continue"/>
            <w:tcBorders>
              <w:left w:val="single" w:color="auto" w:sz="12" w:space="0"/>
            </w:tcBorders>
            <w:shd w:val="clear" w:color="auto" w:fill="FFFFFF"/>
            <w:vAlign w:val="center"/>
          </w:tcPr>
          <w:p>
            <w:pPr>
              <w:autoSpaceDE w:val="0"/>
              <w:autoSpaceDN w:val="0"/>
              <w:adjustRightInd w:val="0"/>
              <w:snapToGrid w:val="0"/>
              <w:jc w:val="center"/>
              <w:rPr>
                <w:rFonts w:eastAsia="仿宋"/>
                <w:color w:val="auto"/>
                <w:kern w:val="0"/>
                <w:szCs w:val="21"/>
                <w:highlight w:val="none"/>
              </w:rPr>
            </w:pPr>
          </w:p>
        </w:tc>
        <w:tc>
          <w:tcPr>
            <w:tcW w:w="1627" w:type="pct"/>
            <w:tcBorders>
              <w:top w:val="single" w:color="auto" w:sz="4" w:space="0"/>
              <w:left w:val="single" w:color="auto" w:sz="4" w:space="0"/>
            </w:tcBorders>
            <w:shd w:val="clear" w:color="auto" w:fill="FFFFFF"/>
            <w:vAlign w:val="center"/>
          </w:tcPr>
          <w:p>
            <w:pPr>
              <w:autoSpaceDE w:val="0"/>
              <w:autoSpaceDN w:val="0"/>
              <w:adjustRightInd w:val="0"/>
              <w:snapToGrid w:val="0"/>
              <w:jc w:val="center"/>
              <w:rPr>
                <w:rFonts w:eastAsia="仿宋"/>
                <w:color w:val="auto"/>
                <w:kern w:val="0"/>
                <w:szCs w:val="21"/>
                <w:highlight w:val="none"/>
              </w:rPr>
            </w:pPr>
            <w:r>
              <w:rPr>
                <w:rFonts w:eastAsia="仿宋"/>
                <w:color w:val="auto"/>
                <w:kern w:val="0"/>
                <w:szCs w:val="21"/>
                <w:highlight w:val="none"/>
              </w:rPr>
              <w:t>纵向</w:t>
            </w:r>
          </w:p>
        </w:tc>
        <w:tc>
          <w:tcPr>
            <w:tcW w:w="674" w:type="pct"/>
            <w:tcBorders>
              <w:top w:val="single" w:color="auto" w:sz="4" w:space="0"/>
              <w:left w:val="single" w:color="auto" w:sz="4" w:space="0"/>
            </w:tcBorders>
            <w:shd w:val="clear" w:color="auto" w:fill="FFFFFF"/>
            <w:vAlign w:val="center"/>
          </w:tcPr>
          <w:p>
            <w:pPr>
              <w:autoSpaceDE w:val="0"/>
              <w:autoSpaceDN w:val="0"/>
              <w:adjustRightInd w:val="0"/>
              <w:snapToGrid w:val="0"/>
              <w:jc w:val="center"/>
              <w:rPr>
                <w:rFonts w:eastAsia="仿宋"/>
                <w:color w:val="auto"/>
                <w:kern w:val="0"/>
                <w:szCs w:val="21"/>
                <w:highlight w:val="none"/>
              </w:rPr>
            </w:pPr>
            <w:r>
              <w:rPr>
                <w:rFonts w:eastAsia="仿宋"/>
                <w:color w:val="auto"/>
                <w:kern w:val="0"/>
                <w:szCs w:val="21"/>
                <w:highlight w:val="none"/>
              </w:rPr>
              <w:t>-10，+5</w:t>
            </w:r>
          </w:p>
        </w:tc>
        <w:tc>
          <w:tcPr>
            <w:tcW w:w="1750" w:type="pct"/>
            <w:vMerge w:val="continue"/>
            <w:tcBorders>
              <w:left w:val="single" w:color="auto" w:sz="4" w:space="0"/>
              <w:right w:val="single" w:color="auto" w:sz="12" w:space="0"/>
            </w:tcBorders>
            <w:shd w:val="clear" w:color="auto" w:fill="FFFFFF"/>
            <w:vAlign w:val="center"/>
          </w:tcPr>
          <w:p>
            <w:pPr>
              <w:autoSpaceDE w:val="0"/>
              <w:autoSpaceDN w:val="0"/>
              <w:adjustRightInd w:val="0"/>
              <w:snapToGrid w:val="0"/>
              <w:jc w:val="center"/>
              <w:rPr>
                <w:rFonts w:eastAsia="仿宋"/>
                <w:color w:val="auto"/>
                <w:kern w:val="0"/>
                <w:szCs w:val="21"/>
                <w:highlight w:val="none"/>
              </w:rPr>
            </w:pPr>
          </w:p>
        </w:tc>
      </w:tr>
      <w:tr>
        <w:tblPrEx>
          <w:tblCellMar>
            <w:top w:w="0" w:type="dxa"/>
            <w:left w:w="10" w:type="dxa"/>
            <w:bottom w:w="0" w:type="dxa"/>
            <w:right w:w="10" w:type="dxa"/>
          </w:tblCellMar>
        </w:tblPrEx>
        <w:trPr>
          <w:trHeight w:val="289" w:hRule="exact"/>
          <w:jc w:val="center"/>
        </w:trPr>
        <w:tc>
          <w:tcPr>
            <w:tcW w:w="949" w:type="pct"/>
            <w:tcBorders>
              <w:top w:val="single" w:color="auto" w:sz="4" w:space="0"/>
              <w:left w:val="single" w:color="auto" w:sz="12" w:space="0"/>
            </w:tcBorders>
            <w:shd w:val="clear" w:color="auto" w:fill="FFFFFF"/>
            <w:vAlign w:val="center"/>
          </w:tcPr>
          <w:p>
            <w:pPr>
              <w:autoSpaceDE w:val="0"/>
              <w:autoSpaceDN w:val="0"/>
              <w:adjustRightInd w:val="0"/>
              <w:snapToGrid w:val="0"/>
              <w:jc w:val="center"/>
              <w:rPr>
                <w:rFonts w:eastAsia="仿宋"/>
                <w:color w:val="auto"/>
                <w:kern w:val="0"/>
                <w:szCs w:val="21"/>
                <w:highlight w:val="none"/>
              </w:rPr>
            </w:pPr>
            <w:r>
              <w:rPr>
                <w:rFonts w:eastAsia="仿宋"/>
                <w:color w:val="auto"/>
                <w:kern w:val="0"/>
                <w:szCs w:val="21"/>
                <w:highlight w:val="none"/>
              </w:rPr>
              <w:t>模块标高</w:t>
            </w:r>
          </w:p>
        </w:tc>
        <w:tc>
          <w:tcPr>
            <w:tcW w:w="1627" w:type="pct"/>
            <w:tcBorders>
              <w:top w:val="single" w:color="auto" w:sz="4" w:space="0"/>
              <w:left w:val="single" w:color="auto" w:sz="4" w:space="0"/>
            </w:tcBorders>
            <w:shd w:val="clear" w:color="auto" w:fill="FFFFFF"/>
            <w:vAlign w:val="center"/>
          </w:tcPr>
          <w:p>
            <w:pPr>
              <w:autoSpaceDE w:val="0"/>
              <w:autoSpaceDN w:val="0"/>
              <w:adjustRightInd w:val="0"/>
              <w:snapToGrid w:val="0"/>
              <w:jc w:val="center"/>
              <w:rPr>
                <w:rFonts w:eastAsia="仿宋"/>
                <w:color w:val="auto"/>
                <w:kern w:val="0"/>
                <w:szCs w:val="21"/>
                <w:highlight w:val="none"/>
              </w:rPr>
            </w:pPr>
            <w:r>
              <w:rPr>
                <w:rFonts w:eastAsia="仿宋"/>
                <w:color w:val="auto"/>
                <w:kern w:val="0"/>
                <w:szCs w:val="21"/>
                <w:highlight w:val="none"/>
              </w:rPr>
              <w:t>模块底板</w:t>
            </w:r>
          </w:p>
        </w:tc>
        <w:tc>
          <w:tcPr>
            <w:tcW w:w="674" w:type="pct"/>
            <w:tcBorders>
              <w:top w:val="single" w:color="auto" w:sz="4" w:space="0"/>
              <w:left w:val="single" w:color="auto" w:sz="4" w:space="0"/>
            </w:tcBorders>
            <w:shd w:val="clear" w:color="auto" w:fill="FFFFFF"/>
            <w:vAlign w:val="center"/>
          </w:tcPr>
          <w:p>
            <w:pPr>
              <w:autoSpaceDE w:val="0"/>
              <w:autoSpaceDN w:val="0"/>
              <w:adjustRightInd w:val="0"/>
              <w:snapToGrid w:val="0"/>
              <w:jc w:val="center"/>
              <w:rPr>
                <w:rFonts w:eastAsia="仿宋"/>
                <w:color w:val="auto"/>
                <w:kern w:val="0"/>
                <w:szCs w:val="21"/>
                <w:highlight w:val="none"/>
              </w:rPr>
            </w:pPr>
            <w:r>
              <w:rPr>
                <w:rFonts w:eastAsia="仿宋"/>
                <w:color w:val="auto"/>
                <w:kern w:val="0"/>
                <w:szCs w:val="21"/>
                <w:highlight w:val="none"/>
              </w:rPr>
              <w:t>-5</w:t>
            </w:r>
          </w:p>
        </w:tc>
        <w:tc>
          <w:tcPr>
            <w:tcW w:w="1750" w:type="pct"/>
            <w:tcBorders>
              <w:top w:val="single" w:color="auto" w:sz="4" w:space="0"/>
              <w:left w:val="single" w:color="auto" w:sz="4" w:space="0"/>
              <w:right w:val="single" w:color="auto" w:sz="12" w:space="0"/>
            </w:tcBorders>
            <w:shd w:val="clear" w:color="auto" w:fill="FFFFFF"/>
            <w:vAlign w:val="center"/>
          </w:tcPr>
          <w:p>
            <w:pPr>
              <w:autoSpaceDE w:val="0"/>
              <w:autoSpaceDN w:val="0"/>
              <w:adjustRightInd w:val="0"/>
              <w:snapToGrid w:val="0"/>
              <w:jc w:val="center"/>
              <w:rPr>
                <w:rFonts w:eastAsia="仿宋"/>
                <w:color w:val="auto"/>
                <w:kern w:val="0"/>
                <w:szCs w:val="21"/>
                <w:highlight w:val="none"/>
              </w:rPr>
            </w:pPr>
            <w:r>
              <w:rPr>
                <w:rFonts w:eastAsia="仿宋"/>
                <w:color w:val="auto"/>
                <w:kern w:val="0"/>
                <w:szCs w:val="21"/>
                <w:highlight w:val="none"/>
              </w:rPr>
              <w:t>水准仪或拉线、尺量</w:t>
            </w:r>
          </w:p>
        </w:tc>
      </w:tr>
      <w:tr>
        <w:tblPrEx>
          <w:tblCellMar>
            <w:top w:w="0" w:type="dxa"/>
            <w:left w:w="10" w:type="dxa"/>
            <w:bottom w:w="0" w:type="dxa"/>
            <w:right w:w="10" w:type="dxa"/>
          </w:tblCellMar>
        </w:tblPrEx>
        <w:trPr>
          <w:trHeight w:val="290" w:hRule="exact"/>
          <w:jc w:val="center"/>
        </w:trPr>
        <w:tc>
          <w:tcPr>
            <w:tcW w:w="949" w:type="pct"/>
            <w:tcBorders>
              <w:top w:val="single" w:color="auto" w:sz="4" w:space="0"/>
              <w:left w:val="single" w:color="auto" w:sz="12" w:space="0"/>
            </w:tcBorders>
            <w:shd w:val="clear" w:color="auto" w:fill="FFFFFF"/>
            <w:vAlign w:val="center"/>
          </w:tcPr>
          <w:p>
            <w:pPr>
              <w:autoSpaceDE w:val="0"/>
              <w:autoSpaceDN w:val="0"/>
              <w:adjustRightInd w:val="0"/>
              <w:snapToGrid w:val="0"/>
              <w:jc w:val="center"/>
              <w:rPr>
                <w:rFonts w:eastAsia="仿宋"/>
                <w:color w:val="auto"/>
                <w:kern w:val="0"/>
                <w:szCs w:val="21"/>
                <w:highlight w:val="none"/>
              </w:rPr>
            </w:pPr>
            <w:r>
              <w:rPr>
                <w:rFonts w:eastAsia="仿宋"/>
                <w:color w:val="auto"/>
                <w:kern w:val="0"/>
                <w:szCs w:val="21"/>
                <w:highlight w:val="none"/>
              </w:rPr>
              <w:t>模块垂直度</w:t>
            </w:r>
          </w:p>
        </w:tc>
        <w:tc>
          <w:tcPr>
            <w:tcW w:w="1627" w:type="pct"/>
            <w:tcBorders>
              <w:top w:val="single" w:color="auto" w:sz="4" w:space="0"/>
              <w:left w:val="single" w:color="auto" w:sz="4" w:space="0"/>
              <w:bottom w:val="single" w:color="auto" w:sz="4" w:space="0"/>
            </w:tcBorders>
            <w:shd w:val="clear" w:color="auto" w:fill="FFFFFF"/>
            <w:vAlign w:val="center"/>
          </w:tcPr>
          <w:p>
            <w:pPr>
              <w:autoSpaceDE w:val="0"/>
              <w:autoSpaceDN w:val="0"/>
              <w:adjustRightInd w:val="0"/>
              <w:snapToGrid w:val="0"/>
              <w:jc w:val="center"/>
              <w:rPr>
                <w:rFonts w:eastAsia="仿宋"/>
                <w:color w:val="auto"/>
                <w:kern w:val="0"/>
                <w:szCs w:val="21"/>
                <w:highlight w:val="none"/>
                <w:lang w:eastAsia="en-US" w:bidi="en-US"/>
              </w:rPr>
            </w:pPr>
            <w:r>
              <w:rPr>
                <w:rFonts w:eastAsia="仿宋"/>
                <w:color w:val="auto"/>
                <w:kern w:val="0"/>
                <w:szCs w:val="21"/>
                <w:highlight w:val="none"/>
                <w:lang w:bidi="en-US"/>
              </w:rPr>
              <w:t>四周墙板</w:t>
            </w:r>
          </w:p>
        </w:tc>
        <w:tc>
          <w:tcPr>
            <w:tcW w:w="674" w:type="pct"/>
            <w:tcBorders>
              <w:top w:val="single" w:color="auto" w:sz="4" w:space="0"/>
              <w:left w:val="single" w:color="auto" w:sz="4" w:space="0"/>
            </w:tcBorders>
            <w:shd w:val="clear" w:color="auto" w:fill="FFFFFF"/>
            <w:vAlign w:val="center"/>
          </w:tcPr>
          <w:p>
            <w:pPr>
              <w:autoSpaceDE w:val="0"/>
              <w:autoSpaceDN w:val="0"/>
              <w:adjustRightInd w:val="0"/>
              <w:snapToGrid w:val="0"/>
              <w:jc w:val="center"/>
              <w:rPr>
                <w:rFonts w:eastAsia="仿宋"/>
                <w:color w:val="auto"/>
                <w:kern w:val="0"/>
                <w:szCs w:val="21"/>
                <w:highlight w:val="none"/>
              </w:rPr>
            </w:pPr>
            <w:r>
              <w:rPr>
                <w:rFonts w:eastAsia="仿宋"/>
                <w:color w:val="auto"/>
                <w:kern w:val="0"/>
                <w:szCs w:val="21"/>
                <w:highlight w:val="none"/>
              </w:rPr>
              <w:t>5</w:t>
            </w:r>
          </w:p>
        </w:tc>
        <w:tc>
          <w:tcPr>
            <w:tcW w:w="1750" w:type="pct"/>
            <w:tcBorders>
              <w:top w:val="single" w:color="auto" w:sz="4" w:space="0"/>
              <w:left w:val="single" w:color="auto" w:sz="4" w:space="0"/>
              <w:right w:val="single" w:color="auto" w:sz="12" w:space="0"/>
            </w:tcBorders>
            <w:shd w:val="clear" w:color="auto" w:fill="FFFFFF"/>
            <w:vAlign w:val="center"/>
          </w:tcPr>
          <w:p>
            <w:pPr>
              <w:autoSpaceDE w:val="0"/>
              <w:autoSpaceDN w:val="0"/>
              <w:adjustRightInd w:val="0"/>
              <w:snapToGrid w:val="0"/>
              <w:jc w:val="center"/>
              <w:rPr>
                <w:rFonts w:eastAsia="仿宋"/>
                <w:color w:val="auto"/>
                <w:kern w:val="0"/>
                <w:szCs w:val="21"/>
                <w:highlight w:val="none"/>
              </w:rPr>
            </w:pPr>
            <w:r>
              <w:rPr>
                <w:rFonts w:eastAsia="仿宋"/>
                <w:color w:val="auto"/>
                <w:kern w:val="0"/>
                <w:szCs w:val="21"/>
                <w:highlight w:val="none"/>
              </w:rPr>
              <w:t>激光水平仪或吊线、尺量</w:t>
            </w:r>
          </w:p>
        </w:tc>
      </w:tr>
      <w:tr>
        <w:tblPrEx>
          <w:tblCellMar>
            <w:top w:w="0" w:type="dxa"/>
            <w:left w:w="10" w:type="dxa"/>
            <w:bottom w:w="0" w:type="dxa"/>
            <w:right w:w="10" w:type="dxa"/>
          </w:tblCellMar>
        </w:tblPrEx>
        <w:trPr>
          <w:trHeight w:val="289" w:hRule="exact"/>
          <w:jc w:val="center"/>
        </w:trPr>
        <w:tc>
          <w:tcPr>
            <w:tcW w:w="949" w:type="pct"/>
            <w:tcBorders>
              <w:top w:val="single" w:color="auto" w:sz="4" w:space="0"/>
              <w:left w:val="single" w:color="auto" w:sz="12" w:space="0"/>
              <w:bottom w:val="single" w:color="auto" w:sz="12" w:space="0"/>
            </w:tcBorders>
            <w:shd w:val="clear" w:color="auto" w:fill="FFFFFF"/>
            <w:vAlign w:val="center"/>
          </w:tcPr>
          <w:p>
            <w:pPr>
              <w:autoSpaceDE w:val="0"/>
              <w:autoSpaceDN w:val="0"/>
              <w:adjustRightInd w:val="0"/>
              <w:snapToGrid w:val="0"/>
              <w:jc w:val="center"/>
              <w:rPr>
                <w:rFonts w:eastAsia="仿宋"/>
                <w:color w:val="auto"/>
                <w:kern w:val="0"/>
                <w:szCs w:val="21"/>
                <w:highlight w:val="none"/>
              </w:rPr>
            </w:pPr>
            <w:r>
              <w:rPr>
                <w:rFonts w:eastAsia="仿宋"/>
                <w:color w:val="auto"/>
                <w:kern w:val="0"/>
                <w:szCs w:val="21"/>
                <w:highlight w:val="none"/>
              </w:rPr>
              <w:t>模块底部水平度</w:t>
            </w:r>
          </w:p>
        </w:tc>
        <w:tc>
          <w:tcPr>
            <w:tcW w:w="1627" w:type="pct"/>
            <w:tcBorders>
              <w:top w:val="single" w:color="auto" w:sz="4" w:space="0"/>
              <w:left w:val="single" w:color="auto" w:sz="4" w:space="0"/>
              <w:bottom w:val="single" w:color="auto" w:sz="12" w:space="0"/>
            </w:tcBorders>
            <w:shd w:val="clear" w:color="auto" w:fill="FFFFFF"/>
            <w:vAlign w:val="center"/>
          </w:tcPr>
          <w:p>
            <w:pPr>
              <w:autoSpaceDE w:val="0"/>
              <w:autoSpaceDN w:val="0"/>
              <w:adjustRightInd w:val="0"/>
              <w:snapToGrid w:val="0"/>
              <w:jc w:val="center"/>
              <w:rPr>
                <w:rFonts w:eastAsia="仿宋"/>
                <w:color w:val="auto"/>
                <w:kern w:val="0"/>
                <w:szCs w:val="21"/>
                <w:highlight w:val="none"/>
              </w:rPr>
            </w:pPr>
            <w:r>
              <w:rPr>
                <w:rFonts w:eastAsia="仿宋"/>
                <w:color w:val="auto"/>
                <w:kern w:val="0"/>
                <w:szCs w:val="21"/>
                <w:highlight w:val="none"/>
              </w:rPr>
              <w:t>底板上表面</w:t>
            </w:r>
          </w:p>
        </w:tc>
        <w:tc>
          <w:tcPr>
            <w:tcW w:w="674" w:type="pct"/>
            <w:tcBorders>
              <w:top w:val="single" w:color="auto" w:sz="4" w:space="0"/>
              <w:left w:val="single" w:color="auto" w:sz="4" w:space="0"/>
              <w:bottom w:val="single" w:color="auto" w:sz="12" w:space="0"/>
            </w:tcBorders>
            <w:shd w:val="clear" w:color="auto" w:fill="FFFFFF"/>
            <w:vAlign w:val="center"/>
          </w:tcPr>
          <w:p>
            <w:pPr>
              <w:autoSpaceDE w:val="0"/>
              <w:autoSpaceDN w:val="0"/>
              <w:adjustRightInd w:val="0"/>
              <w:snapToGrid w:val="0"/>
              <w:jc w:val="center"/>
              <w:rPr>
                <w:rFonts w:eastAsia="仿宋"/>
                <w:color w:val="auto"/>
                <w:kern w:val="0"/>
                <w:szCs w:val="21"/>
                <w:highlight w:val="none"/>
              </w:rPr>
            </w:pPr>
            <w:r>
              <w:rPr>
                <w:rFonts w:eastAsia="仿宋"/>
                <w:color w:val="auto"/>
                <w:kern w:val="0"/>
                <w:szCs w:val="21"/>
                <w:highlight w:val="none"/>
              </w:rPr>
              <w:t>5</w:t>
            </w:r>
          </w:p>
        </w:tc>
        <w:tc>
          <w:tcPr>
            <w:tcW w:w="1750" w:type="pct"/>
            <w:tcBorders>
              <w:top w:val="single" w:color="auto" w:sz="4" w:space="0"/>
              <w:left w:val="single" w:color="auto" w:sz="4" w:space="0"/>
              <w:bottom w:val="single" w:color="auto" w:sz="12" w:space="0"/>
              <w:right w:val="single" w:color="auto" w:sz="12" w:space="0"/>
            </w:tcBorders>
            <w:shd w:val="clear" w:color="auto" w:fill="FFFFFF"/>
            <w:vAlign w:val="center"/>
          </w:tcPr>
          <w:p>
            <w:pPr>
              <w:autoSpaceDE w:val="0"/>
              <w:autoSpaceDN w:val="0"/>
              <w:adjustRightInd w:val="0"/>
              <w:snapToGrid w:val="0"/>
              <w:jc w:val="center"/>
              <w:rPr>
                <w:rFonts w:eastAsia="仿宋"/>
                <w:color w:val="auto"/>
                <w:kern w:val="0"/>
                <w:szCs w:val="21"/>
                <w:highlight w:val="none"/>
              </w:rPr>
            </w:pPr>
            <w:r>
              <w:rPr>
                <w:rFonts w:eastAsia="仿宋"/>
                <w:color w:val="auto"/>
                <w:kern w:val="0"/>
                <w:szCs w:val="21"/>
                <w:highlight w:val="none"/>
              </w:rPr>
              <w:t>激光水平仪或拉线、尺量</w:t>
            </w:r>
          </w:p>
        </w:tc>
      </w:tr>
    </w:tbl>
    <w:p>
      <w:pPr>
        <w:numPr>
          <w:ilvl w:val="0"/>
          <w:numId w:val="30"/>
        </w:numPr>
        <w:rPr>
          <w:color w:val="auto"/>
          <w:highlight w:val="none"/>
        </w:rPr>
      </w:pPr>
      <w:r>
        <w:rPr>
          <w:rFonts w:hint="eastAsia"/>
          <w:color w:val="auto"/>
          <w:highlight w:val="none"/>
        </w:rPr>
        <w:t>模块单元安装过程中，应对模块单元进行临时防水处理，并应符合下列规定：</w:t>
      </w:r>
    </w:p>
    <w:p>
      <w:pPr>
        <w:ind w:firstLine="440" w:firstLineChars="200"/>
        <w:rPr>
          <w:color w:val="auto"/>
          <w:highlight w:val="none"/>
        </w:rPr>
      </w:pPr>
      <w:r>
        <w:rPr>
          <w:rFonts w:hint="eastAsia"/>
          <w:b/>
          <w:color w:val="auto"/>
          <w:highlight w:val="none"/>
        </w:rPr>
        <w:t>1</w:t>
      </w:r>
      <w:r>
        <w:rPr>
          <w:color w:val="auto"/>
          <w:highlight w:val="none"/>
        </w:rPr>
        <w:t xml:space="preserve">  </w:t>
      </w:r>
      <w:r>
        <w:rPr>
          <w:rFonts w:hint="eastAsia"/>
          <w:color w:val="auto"/>
          <w:highlight w:val="none"/>
        </w:rPr>
        <w:t>应对预留管线的孔洞进行临时封堵；</w:t>
      </w:r>
    </w:p>
    <w:p>
      <w:pPr>
        <w:ind w:firstLine="440" w:firstLineChars="200"/>
        <w:rPr>
          <w:color w:val="auto"/>
          <w:highlight w:val="none"/>
        </w:rPr>
      </w:pPr>
      <w:r>
        <w:rPr>
          <w:rFonts w:hint="eastAsia"/>
          <w:b/>
          <w:color w:val="auto"/>
          <w:highlight w:val="none"/>
        </w:rPr>
        <w:t>2</w:t>
      </w:r>
      <w:r>
        <w:rPr>
          <w:color w:val="auto"/>
          <w:highlight w:val="none"/>
        </w:rPr>
        <w:t xml:space="preserve">  </w:t>
      </w:r>
      <w:r>
        <w:rPr>
          <w:rFonts w:hint="eastAsia"/>
          <w:color w:val="auto"/>
          <w:highlight w:val="none"/>
        </w:rPr>
        <w:t>应及时完成接缝、后浇接触面等位置的防水处理；</w:t>
      </w:r>
    </w:p>
    <w:p>
      <w:pPr>
        <w:ind w:firstLine="440" w:firstLineChars="200"/>
        <w:rPr>
          <w:b/>
          <w:color w:val="auto"/>
          <w:highlight w:val="none"/>
        </w:rPr>
      </w:pPr>
      <w:r>
        <w:rPr>
          <w:rFonts w:hint="eastAsia"/>
          <w:b/>
          <w:color w:val="auto"/>
          <w:highlight w:val="none"/>
        </w:rPr>
        <w:t>3</w:t>
      </w:r>
      <w:r>
        <w:rPr>
          <w:color w:val="auto"/>
          <w:highlight w:val="none"/>
        </w:rPr>
        <w:t xml:space="preserve">  </w:t>
      </w:r>
      <w:r>
        <w:rPr>
          <w:rFonts w:hint="eastAsia"/>
          <w:color w:val="auto"/>
          <w:highlight w:val="none"/>
        </w:rPr>
        <w:t>箱体顶部、门窗、洞口处可设置防雨布。</w:t>
      </w:r>
    </w:p>
    <w:p>
      <w:pPr>
        <w:numPr>
          <w:ilvl w:val="0"/>
          <w:numId w:val="30"/>
        </w:numPr>
        <w:rPr>
          <w:color w:val="auto"/>
          <w:highlight w:val="none"/>
        </w:rPr>
      </w:pPr>
      <w:bookmarkStart w:id="1248" w:name="_Toc19301"/>
      <w:bookmarkStart w:id="1249" w:name="_Toc17952"/>
      <w:r>
        <w:rPr>
          <w:rFonts w:hint="eastAsia"/>
          <w:color w:val="auto"/>
          <w:highlight w:val="none"/>
        </w:rPr>
        <w:t>吊装作业安全应符合下列规定：</w:t>
      </w:r>
      <w:bookmarkEnd w:id="1248"/>
      <w:bookmarkEnd w:id="1249"/>
    </w:p>
    <w:p>
      <w:pPr>
        <w:ind w:firstLine="440" w:firstLineChars="200"/>
        <w:rPr>
          <w:b/>
          <w:color w:val="auto"/>
          <w:highlight w:val="none"/>
        </w:rPr>
      </w:pPr>
      <w:r>
        <w:rPr>
          <w:rFonts w:hint="eastAsia"/>
          <w:b/>
          <w:color w:val="auto"/>
          <w:highlight w:val="none"/>
        </w:rPr>
        <w:t>1</w:t>
      </w:r>
      <w:r>
        <w:rPr>
          <w:b/>
          <w:color w:val="auto"/>
          <w:highlight w:val="none"/>
        </w:rPr>
        <w:t xml:space="preserve">  </w:t>
      </w:r>
      <w:r>
        <w:rPr>
          <w:rFonts w:hint="eastAsia"/>
          <w:color w:val="auto"/>
          <w:highlight w:val="none"/>
        </w:rPr>
        <w:t>遇到大雨、大雾、大雪天及</w:t>
      </w:r>
      <w:r>
        <w:rPr>
          <w:color w:val="auto"/>
          <w:highlight w:val="none"/>
        </w:rPr>
        <w:t>5</w:t>
      </w:r>
      <w:r>
        <w:rPr>
          <w:rFonts w:hint="eastAsia"/>
          <w:color w:val="auto"/>
          <w:highlight w:val="none"/>
        </w:rPr>
        <w:t>级以上大风天等恶劣天气时，不得进行吊装作业；</w:t>
      </w:r>
    </w:p>
    <w:p>
      <w:pPr>
        <w:ind w:firstLine="440" w:firstLineChars="200"/>
        <w:rPr>
          <w:color w:val="auto"/>
          <w:highlight w:val="none"/>
        </w:rPr>
      </w:pPr>
      <w:r>
        <w:rPr>
          <w:rFonts w:hint="eastAsia"/>
          <w:b/>
          <w:color w:val="auto"/>
          <w:highlight w:val="none"/>
        </w:rPr>
        <w:t>2</w:t>
      </w:r>
      <w:r>
        <w:rPr>
          <w:b/>
          <w:color w:val="auto"/>
          <w:highlight w:val="none"/>
        </w:rPr>
        <w:t xml:space="preserve">  </w:t>
      </w:r>
      <w:r>
        <w:rPr>
          <w:rFonts w:hint="eastAsia"/>
          <w:color w:val="auto"/>
          <w:highlight w:val="none"/>
        </w:rPr>
        <w:t>起吊后，应先将模块单元提升</w:t>
      </w:r>
      <w:r>
        <w:rPr>
          <w:color w:val="auto"/>
          <w:highlight w:val="none"/>
        </w:rPr>
        <w:t>300mm</w:t>
      </w:r>
      <w:r>
        <w:rPr>
          <w:rFonts w:hint="eastAsia"/>
          <w:color w:val="auto"/>
          <w:highlight w:val="none"/>
        </w:rPr>
        <w:t>进行试吊，确保吊具安全且构件平稳后，方可缓慢提升构件；</w:t>
      </w:r>
    </w:p>
    <w:p>
      <w:pPr>
        <w:ind w:firstLine="440" w:firstLineChars="200"/>
        <w:rPr>
          <w:color w:val="auto"/>
          <w:highlight w:val="none"/>
        </w:rPr>
      </w:pPr>
      <w:bookmarkStart w:id="1250" w:name="_Toc3540"/>
      <w:bookmarkStart w:id="1251" w:name="_Toc8418"/>
      <w:r>
        <w:rPr>
          <w:rFonts w:hint="eastAsia"/>
          <w:b/>
          <w:color w:val="auto"/>
          <w:highlight w:val="none"/>
        </w:rPr>
        <w:t>3</w:t>
      </w:r>
      <w:r>
        <w:rPr>
          <w:b/>
          <w:color w:val="auto"/>
          <w:highlight w:val="none"/>
        </w:rPr>
        <w:t xml:space="preserve">  </w:t>
      </w:r>
      <w:r>
        <w:rPr>
          <w:rFonts w:hint="eastAsia"/>
          <w:color w:val="auto"/>
          <w:highlight w:val="none"/>
        </w:rPr>
        <w:t>吊运时，模块单元吊运路径下方及警示范围内严禁站人；</w:t>
      </w:r>
      <w:bookmarkEnd w:id="1250"/>
      <w:bookmarkEnd w:id="1251"/>
    </w:p>
    <w:p>
      <w:pPr>
        <w:ind w:firstLine="440" w:firstLineChars="200"/>
        <w:rPr>
          <w:color w:val="auto"/>
          <w:highlight w:val="none"/>
        </w:rPr>
      </w:pPr>
      <w:r>
        <w:rPr>
          <w:rFonts w:hint="eastAsia"/>
          <w:b/>
          <w:color w:val="auto"/>
          <w:highlight w:val="none"/>
        </w:rPr>
        <w:t>4</w:t>
      </w:r>
      <w:r>
        <w:rPr>
          <w:b/>
          <w:color w:val="auto"/>
          <w:highlight w:val="none"/>
        </w:rPr>
        <w:t xml:space="preserve">  </w:t>
      </w:r>
      <w:r>
        <w:rPr>
          <w:rFonts w:hint="eastAsia"/>
          <w:color w:val="auto"/>
          <w:highlight w:val="none"/>
        </w:rPr>
        <w:t>高空作业时，可通过缆风绳调整模块单元方向，严禁直接手扶模块单元；</w:t>
      </w:r>
    </w:p>
    <w:p>
      <w:pPr>
        <w:ind w:firstLine="440" w:firstLineChars="200"/>
        <w:rPr>
          <w:color w:val="auto"/>
          <w:highlight w:val="none"/>
        </w:rPr>
      </w:pPr>
      <w:r>
        <w:rPr>
          <w:rFonts w:hint="eastAsia"/>
          <w:b/>
          <w:color w:val="auto"/>
          <w:highlight w:val="none"/>
        </w:rPr>
        <w:t>5</w:t>
      </w:r>
      <w:r>
        <w:rPr>
          <w:b/>
          <w:color w:val="auto"/>
          <w:highlight w:val="none"/>
        </w:rPr>
        <w:t xml:space="preserve">  </w:t>
      </w:r>
      <w:r>
        <w:rPr>
          <w:rFonts w:hint="eastAsia"/>
          <w:color w:val="auto"/>
          <w:highlight w:val="none"/>
        </w:rPr>
        <w:t>就位时，应待模块单元降落至距地面</w:t>
      </w:r>
      <w:r>
        <w:rPr>
          <w:color w:val="auto"/>
          <w:highlight w:val="none"/>
        </w:rPr>
        <w:t>1m</w:t>
      </w:r>
      <w:r>
        <w:rPr>
          <w:rFonts w:hint="eastAsia"/>
          <w:color w:val="auto"/>
          <w:highlight w:val="none"/>
        </w:rPr>
        <w:t>以内作业人员才可靠近，并应待模块单元就位固定后进行脱钩；</w:t>
      </w:r>
    </w:p>
    <w:p>
      <w:pPr>
        <w:ind w:firstLine="440" w:firstLineChars="200"/>
        <w:rPr>
          <w:color w:val="auto"/>
          <w:highlight w:val="none"/>
        </w:rPr>
      </w:pPr>
      <w:r>
        <w:rPr>
          <w:b/>
          <w:color w:val="auto"/>
          <w:highlight w:val="none"/>
        </w:rPr>
        <w:t xml:space="preserve">6  </w:t>
      </w:r>
      <w:r>
        <w:rPr>
          <w:rFonts w:hint="eastAsia"/>
          <w:color w:val="auto"/>
          <w:highlight w:val="none"/>
        </w:rPr>
        <w:t>模块单元吊装时应设置有效的</w:t>
      </w:r>
      <w:r>
        <w:rPr>
          <w:color w:val="auto"/>
          <w:highlight w:val="none"/>
        </w:rPr>
        <w:t>防护系统</w:t>
      </w:r>
      <w:r>
        <w:rPr>
          <w:rFonts w:hint="eastAsia"/>
          <w:color w:val="auto"/>
          <w:highlight w:val="none"/>
        </w:rPr>
        <w:t>，防护系统应经计算确定。</w:t>
      </w:r>
    </w:p>
    <w:p>
      <w:pPr>
        <w:pStyle w:val="4"/>
        <w:rPr>
          <w:color w:val="auto"/>
          <w:highlight w:val="none"/>
        </w:rPr>
      </w:pPr>
      <w:bookmarkStart w:id="1252" w:name="_Toc12481"/>
      <w:r>
        <w:rPr>
          <w:rFonts w:hint="eastAsia"/>
          <w:b/>
          <w:bCs w:val="0"/>
          <w:color w:val="auto"/>
          <w:highlight w:val="none"/>
        </w:rPr>
        <w:t>9</w:t>
      </w:r>
      <w:r>
        <w:rPr>
          <w:rFonts w:hint="eastAsia" w:ascii="仿宋" w:hAnsi="仿宋" w:eastAsia="仿宋" w:cs="仿宋"/>
          <w:b/>
          <w:bCs w:val="0"/>
          <w:color w:val="auto"/>
          <w:highlight w:val="none"/>
        </w:rPr>
        <w:t>.</w:t>
      </w:r>
      <w:r>
        <w:rPr>
          <w:rFonts w:hint="eastAsia"/>
          <w:b/>
          <w:bCs w:val="0"/>
          <w:color w:val="auto"/>
          <w:highlight w:val="none"/>
        </w:rPr>
        <w:t>3</w:t>
      </w:r>
      <w:r>
        <w:rPr>
          <w:color w:val="auto"/>
          <w:highlight w:val="none"/>
        </w:rPr>
        <w:t xml:space="preserve">  </w:t>
      </w:r>
      <w:r>
        <w:rPr>
          <w:rFonts w:hint="eastAsia"/>
          <w:color w:val="auto"/>
          <w:highlight w:val="none"/>
        </w:rPr>
        <w:t>现场连接</w:t>
      </w:r>
      <w:bookmarkEnd w:id="1252"/>
    </w:p>
    <w:p>
      <w:pPr>
        <w:numPr>
          <w:ilvl w:val="0"/>
          <w:numId w:val="31"/>
        </w:numPr>
        <w:tabs>
          <w:tab w:val="left" w:pos="0"/>
        </w:tabs>
        <w:ind w:left="0" w:firstLine="0"/>
        <w:rPr>
          <w:color w:val="auto"/>
          <w:highlight w:val="none"/>
        </w:rPr>
      </w:pPr>
      <w:r>
        <w:rPr>
          <w:rFonts w:hint="eastAsia"/>
          <w:color w:val="auto"/>
          <w:highlight w:val="none"/>
        </w:rPr>
        <w:t xml:space="preserve">模板工程、钢筋工程、混凝土工程除符合本章规定外，尚应符合现行国家标准《混凝土结构工程施工规范》GB </w:t>
      </w:r>
      <w:r>
        <w:rPr>
          <w:color w:val="auto"/>
          <w:highlight w:val="none"/>
        </w:rPr>
        <w:t>50666</w:t>
      </w:r>
      <w:r>
        <w:rPr>
          <w:rFonts w:hint="eastAsia"/>
          <w:color w:val="auto"/>
          <w:highlight w:val="none"/>
        </w:rPr>
        <w:t>的有关规定。当釆用自密实混凝土时，应符合现行行业标准《自密实混凝土应用技术规程》JGJ/T 283的有关规定。</w:t>
      </w:r>
    </w:p>
    <w:p>
      <w:pPr>
        <w:numPr>
          <w:ilvl w:val="0"/>
          <w:numId w:val="31"/>
        </w:numPr>
        <w:rPr>
          <w:color w:val="auto"/>
          <w:highlight w:val="none"/>
        </w:rPr>
      </w:pPr>
      <w:r>
        <w:rPr>
          <w:rFonts w:hint="eastAsia"/>
          <w:color w:val="auto"/>
          <w:highlight w:val="none"/>
        </w:rPr>
        <w:t>模块单元采用后浇混凝土连接时，应符合下列规定：</w:t>
      </w:r>
    </w:p>
    <w:p>
      <w:pPr>
        <w:ind w:left="440"/>
        <w:rPr>
          <w:color w:val="auto"/>
          <w:highlight w:val="none"/>
        </w:rPr>
      </w:pPr>
      <w:r>
        <w:rPr>
          <w:rFonts w:hint="eastAsia"/>
          <w:b/>
          <w:bCs/>
          <w:color w:val="auto"/>
          <w:highlight w:val="none"/>
        </w:rPr>
        <w:t>1</w:t>
      </w:r>
      <w:r>
        <w:rPr>
          <w:rFonts w:hint="eastAsia"/>
          <w:color w:val="auto"/>
          <w:highlight w:val="none"/>
        </w:rPr>
        <w:t xml:space="preserve">  模板与支架宜釆用工具式支架和定型模板；</w:t>
      </w:r>
    </w:p>
    <w:p>
      <w:pPr>
        <w:ind w:left="440"/>
        <w:rPr>
          <w:color w:val="auto"/>
          <w:highlight w:val="none"/>
        </w:rPr>
      </w:pPr>
      <w:r>
        <w:rPr>
          <w:rFonts w:hint="eastAsia"/>
          <w:b/>
          <w:bCs/>
          <w:color w:val="auto"/>
          <w:highlight w:val="none"/>
        </w:rPr>
        <w:t>2</w:t>
      </w:r>
      <w:r>
        <w:rPr>
          <w:rFonts w:hint="eastAsia"/>
          <w:color w:val="auto"/>
          <w:highlight w:val="none"/>
        </w:rPr>
        <w:t xml:space="preserve">  模板应保证后浇混凝土部分形状、尺寸和位置准确；</w:t>
      </w:r>
    </w:p>
    <w:p>
      <w:pPr>
        <w:ind w:left="440"/>
        <w:rPr>
          <w:color w:val="auto"/>
          <w:highlight w:val="none"/>
        </w:rPr>
      </w:pPr>
      <w:r>
        <w:rPr>
          <w:rFonts w:hint="eastAsia"/>
          <w:b/>
          <w:bCs/>
          <w:color w:val="auto"/>
          <w:highlight w:val="none"/>
        </w:rPr>
        <w:t>3</w:t>
      </w:r>
      <w:r>
        <w:rPr>
          <w:rFonts w:hint="eastAsia"/>
          <w:color w:val="auto"/>
          <w:highlight w:val="none"/>
        </w:rPr>
        <w:t xml:space="preserve">  模板与预制模块接缝处应釆取防止漏浆的措施；</w:t>
      </w:r>
    </w:p>
    <w:p>
      <w:pPr>
        <w:ind w:firstLine="440" w:firstLineChars="200"/>
        <w:rPr>
          <w:rFonts w:eastAsia="Times New Roman"/>
          <w:color w:val="auto"/>
          <w:highlight w:val="none"/>
          <w:lang w:bidi="en-US"/>
        </w:rPr>
      </w:pPr>
      <w:r>
        <w:rPr>
          <w:rFonts w:hint="eastAsia" w:eastAsia="等线"/>
          <w:b/>
          <w:bCs/>
          <w:color w:val="auto"/>
          <w:kern w:val="0"/>
          <w:highlight w:val="none"/>
          <w:lang w:bidi="en-US"/>
        </w:rPr>
        <w:t>4</w:t>
      </w:r>
      <w:r>
        <w:rPr>
          <w:rFonts w:eastAsia="Times New Roman"/>
          <w:b/>
          <w:bCs/>
          <w:color w:val="auto"/>
          <w:kern w:val="0"/>
          <w:highlight w:val="none"/>
          <w:lang w:bidi="en-US"/>
        </w:rPr>
        <w:t xml:space="preserve">  </w:t>
      </w:r>
      <w:r>
        <w:rPr>
          <w:rFonts w:hint="eastAsia"/>
          <w:color w:val="auto"/>
          <w:highlight w:val="none"/>
          <w:lang w:bidi="en-US"/>
        </w:rPr>
        <w:t>钢筋搭接和锚固的做法应符合现行国家标准《混凝土结构设计标准》GB/T 50010、行业标准《高层建筑混凝土结构技术规程》JG</w:t>
      </w:r>
      <w:r>
        <w:rPr>
          <w:color w:val="auto"/>
          <w:highlight w:val="none"/>
          <w:lang w:bidi="en-US"/>
        </w:rPr>
        <w:t>J</w:t>
      </w:r>
      <w:r>
        <w:rPr>
          <w:rFonts w:hint="eastAsia"/>
          <w:color w:val="auto"/>
          <w:highlight w:val="none"/>
          <w:lang w:bidi="en-US"/>
        </w:rPr>
        <w:t xml:space="preserve"> </w:t>
      </w:r>
      <w:r>
        <w:rPr>
          <w:color w:val="auto"/>
          <w:highlight w:val="none"/>
          <w:lang w:bidi="en-US"/>
        </w:rPr>
        <w:t>3</w:t>
      </w:r>
      <w:r>
        <w:rPr>
          <w:rFonts w:hint="eastAsia"/>
          <w:color w:val="auto"/>
          <w:highlight w:val="none"/>
          <w:lang w:bidi="en-US"/>
        </w:rPr>
        <w:t>和上海市地方标准《建筑抗震设计标准》DG/TJ 08-9等规范的有关规定；</w:t>
      </w:r>
    </w:p>
    <w:p>
      <w:pPr>
        <w:ind w:firstLine="440" w:firstLineChars="200"/>
        <w:rPr>
          <w:color w:val="auto"/>
          <w:highlight w:val="none"/>
        </w:rPr>
      </w:pPr>
      <w:r>
        <w:rPr>
          <w:rFonts w:hint="eastAsia" w:eastAsia="等线"/>
          <w:b/>
          <w:bCs/>
          <w:color w:val="auto"/>
          <w:kern w:val="0"/>
          <w:highlight w:val="none"/>
          <w:lang w:bidi="en-US"/>
        </w:rPr>
        <w:t>5</w:t>
      </w:r>
      <w:r>
        <w:rPr>
          <w:rFonts w:eastAsia="Times New Roman"/>
          <w:b/>
          <w:bCs/>
          <w:color w:val="auto"/>
          <w:kern w:val="0"/>
          <w:highlight w:val="none"/>
          <w:lang w:bidi="en-US"/>
        </w:rPr>
        <w:t xml:space="preserve">  </w:t>
      </w:r>
      <w:r>
        <w:rPr>
          <w:rFonts w:hint="eastAsia"/>
          <w:color w:val="auto"/>
          <w:highlight w:val="none"/>
        </w:rPr>
        <w:t>后浇混凝土的施工应符合现行国家标准《混凝土结构工程施工规范》</w:t>
      </w:r>
      <w:r>
        <w:rPr>
          <w:color w:val="auto"/>
          <w:highlight w:val="none"/>
        </w:rPr>
        <w:t>GB 50666</w:t>
      </w:r>
      <w:r>
        <w:rPr>
          <w:rFonts w:hint="eastAsia"/>
          <w:color w:val="auto"/>
          <w:highlight w:val="none"/>
        </w:rPr>
        <w:t>和《装配式混凝土建筑技术标准》</w:t>
      </w:r>
      <w:r>
        <w:rPr>
          <w:color w:val="auto"/>
          <w:highlight w:val="none"/>
        </w:rPr>
        <w:t>GB/T 51231</w:t>
      </w:r>
      <w:r>
        <w:rPr>
          <w:rFonts w:hint="eastAsia"/>
          <w:color w:val="auto"/>
          <w:highlight w:val="none"/>
        </w:rPr>
        <w:t>的有关规定。</w:t>
      </w:r>
    </w:p>
    <w:p>
      <w:pPr>
        <w:numPr>
          <w:ilvl w:val="0"/>
          <w:numId w:val="31"/>
        </w:numPr>
        <w:tabs>
          <w:tab w:val="left" w:pos="0"/>
        </w:tabs>
        <w:ind w:left="0" w:firstLine="0"/>
        <w:rPr>
          <w:color w:val="auto"/>
          <w:highlight w:val="none"/>
        </w:rPr>
      </w:pPr>
      <w:r>
        <w:rPr>
          <w:rFonts w:hint="eastAsia"/>
          <w:color w:val="auto"/>
          <w:highlight w:val="none"/>
        </w:rPr>
        <w:t>拆模时后浇混凝土强度应符合现行国家标准《混凝土结构工程施工规范》GB 50666的有关规定，并应符合设计要求。</w:t>
      </w:r>
    </w:p>
    <w:p>
      <w:pPr>
        <w:numPr>
          <w:ilvl w:val="0"/>
          <w:numId w:val="31"/>
        </w:numPr>
        <w:tabs>
          <w:tab w:val="left" w:pos="0"/>
        </w:tabs>
        <w:ind w:left="0" w:firstLine="0"/>
        <w:rPr>
          <w:color w:val="auto"/>
          <w:highlight w:val="none"/>
        </w:rPr>
      </w:pPr>
      <w:r>
        <w:rPr>
          <w:rFonts w:hint="eastAsia"/>
          <w:color w:val="auto"/>
          <w:highlight w:val="none"/>
        </w:rPr>
        <w:t>模块单元采用套筒灌浆、浆锚搭接连接时，应符合下列规定：</w:t>
      </w:r>
    </w:p>
    <w:p>
      <w:pPr>
        <w:tabs>
          <w:tab w:val="left" w:pos="0"/>
        </w:tabs>
        <w:ind w:firstLine="440" w:firstLineChars="200"/>
        <w:rPr>
          <w:color w:val="auto"/>
          <w:highlight w:val="none"/>
        </w:rPr>
      </w:pPr>
      <w:r>
        <w:rPr>
          <w:rFonts w:hint="eastAsia"/>
          <w:b/>
          <w:bCs/>
          <w:color w:val="auto"/>
          <w:highlight w:val="none"/>
        </w:rPr>
        <w:t>1</w:t>
      </w:r>
      <w:r>
        <w:rPr>
          <w:rFonts w:hint="eastAsia"/>
          <w:color w:val="auto"/>
          <w:highlight w:val="none"/>
        </w:rPr>
        <w:t xml:space="preserve">  模块单元竖向连接节点的套筒和预留孔应上下对应，套筒和预留孔的数量、间距、尺寸等应满足设计要求；</w:t>
      </w:r>
    </w:p>
    <w:p>
      <w:pPr>
        <w:tabs>
          <w:tab w:val="left" w:pos="0"/>
        </w:tabs>
        <w:ind w:firstLine="440" w:firstLineChars="200"/>
        <w:rPr>
          <w:color w:val="auto"/>
          <w:highlight w:val="none"/>
        </w:rPr>
      </w:pPr>
      <w:r>
        <w:rPr>
          <w:rFonts w:hint="eastAsia"/>
          <w:b/>
          <w:bCs/>
          <w:color w:val="auto"/>
          <w:highlight w:val="none"/>
        </w:rPr>
        <w:t>2</w:t>
      </w:r>
      <w:r>
        <w:rPr>
          <w:rFonts w:hint="eastAsia"/>
          <w:color w:val="auto"/>
          <w:highlight w:val="none"/>
        </w:rPr>
        <w:t xml:space="preserve">  灌浆施工应符合现行行业标准《钢筋套筒灌浆连接应用技术规程》JGJ 355的有关规定。</w:t>
      </w:r>
    </w:p>
    <w:p>
      <w:pPr>
        <w:numPr>
          <w:ilvl w:val="0"/>
          <w:numId w:val="31"/>
        </w:numPr>
        <w:tabs>
          <w:tab w:val="left" w:pos="0"/>
        </w:tabs>
        <w:ind w:left="0" w:firstLine="0"/>
        <w:rPr>
          <w:color w:val="auto"/>
          <w:highlight w:val="none"/>
        </w:rPr>
      </w:pPr>
      <w:r>
        <w:rPr>
          <w:rFonts w:hint="eastAsia"/>
          <w:color w:val="auto"/>
          <w:highlight w:val="none"/>
        </w:rPr>
        <w:t>混凝土模块化建筑的相邻模块单元间的水平缝、竖缝，模块单元和非模块单元的水平缝、竖缝，模块单元间洞口周围缝隙、模块单元和非模块单元间的洞口周围缝隙等位置，应采用不燃材料进行填塞封堵。</w:t>
      </w:r>
    </w:p>
    <w:p>
      <w:pPr>
        <w:numPr>
          <w:ilvl w:val="0"/>
          <w:numId w:val="31"/>
        </w:numPr>
        <w:rPr>
          <w:color w:val="auto"/>
          <w:highlight w:val="none"/>
        </w:rPr>
      </w:pPr>
      <w:r>
        <w:rPr>
          <w:rFonts w:hint="eastAsia"/>
          <w:color w:val="auto"/>
          <w:highlight w:val="none"/>
        </w:rPr>
        <w:t>外墙板接缝防水施工应符合下列规定：</w:t>
      </w:r>
    </w:p>
    <w:p>
      <w:pPr>
        <w:ind w:firstLine="440" w:firstLineChars="200"/>
        <w:rPr>
          <w:rFonts w:eastAsia="PMingLiU"/>
          <w:color w:val="auto"/>
          <w:highlight w:val="none"/>
        </w:rPr>
      </w:pPr>
      <w:r>
        <w:rPr>
          <w:b/>
          <w:bCs/>
          <w:color w:val="auto"/>
          <w:highlight w:val="none"/>
        </w:rPr>
        <w:t xml:space="preserve">1  </w:t>
      </w:r>
      <w:r>
        <w:rPr>
          <w:rFonts w:hint="eastAsia"/>
          <w:color w:val="auto"/>
          <w:highlight w:val="none"/>
        </w:rPr>
        <w:t>防水施工前，应将板缝空腔清理干净；</w:t>
      </w:r>
    </w:p>
    <w:p>
      <w:pPr>
        <w:pStyle w:val="47"/>
        <w:ind w:firstLine="441"/>
        <w:rPr>
          <w:rFonts w:eastAsia="PMingLiU"/>
          <w:color w:val="auto"/>
          <w:highlight w:val="none"/>
        </w:rPr>
      </w:pPr>
      <w:r>
        <w:rPr>
          <w:rFonts w:hint="eastAsia" w:eastAsia="等线"/>
          <w:b/>
          <w:color w:val="auto"/>
          <w:highlight w:val="none"/>
        </w:rPr>
        <w:t>2</w:t>
      </w:r>
      <w:r>
        <w:rPr>
          <w:rFonts w:hint="eastAsia" w:eastAsia="PMingLiU"/>
          <w:b/>
          <w:color w:val="auto"/>
          <w:highlight w:val="none"/>
        </w:rPr>
        <w:t xml:space="preserve"> </w:t>
      </w:r>
      <w:r>
        <w:rPr>
          <w:b/>
          <w:bCs/>
          <w:color w:val="auto"/>
          <w:highlight w:val="none"/>
        </w:rPr>
        <w:t xml:space="preserve"> </w:t>
      </w:r>
      <w:r>
        <w:rPr>
          <w:rFonts w:hint="eastAsia" w:ascii="宋体" w:hAnsi="宋体"/>
          <w:color w:val="auto"/>
          <w:highlight w:val="none"/>
        </w:rPr>
        <w:t>接缝处应填塞防水密封材料</w:t>
      </w:r>
      <w:r>
        <w:rPr>
          <w:rFonts w:hint="eastAsia"/>
          <w:color w:val="auto"/>
          <w:highlight w:val="none"/>
        </w:rPr>
        <w:t>；</w:t>
      </w:r>
    </w:p>
    <w:p>
      <w:pPr>
        <w:pStyle w:val="47"/>
        <w:ind w:left="440" w:firstLine="0" w:firstLineChars="0"/>
        <w:rPr>
          <w:color w:val="auto"/>
          <w:highlight w:val="none"/>
        </w:rPr>
      </w:pPr>
      <w:r>
        <w:rPr>
          <w:b/>
          <w:bCs/>
          <w:color w:val="auto"/>
          <w:highlight w:val="none"/>
        </w:rPr>
        <w:t xml:space="preserve">3  </w:t>
      </w:r>
      <w:r>
        <w:rPr>
          <w:rFonts w:hint="eastAsia"/>
          <w:color w:val="auto"/>
          <w:highlight w:val="none"/>
        </w:rPr>
        <w:t>密封材料嵌填应饱满、密实、均匀、顺直、表面平滑，其厚度应满足设计要求。</w:t>
      </w:r>
    </w:p>
    <w:p>
      <w:pPr>
        <w:numPr>
          <w:ilvl w:val="0"/>
          <w:numId w:val="31"/>
        </w:numPr>
        <w:tabs>
          <w:tab w:val="left" w:pos="0"/>
        </w:tabs>
        <w:ind w:left="0" w:firstLine="0"/>
        <w:rPr>
          <w:color w:val="auto"/>
          <w:highlight w:val="none"/>
        </w:rPr>
      </w:pPr>
      <w:r>
        <w:rPr>
          <w:rFonts w:hint="eastAsia"/>
          <w:color w:val="auto"/>
          <w:highlight w:val="none"/>
        </w:rPr>
        <w:t>设备与管线的现场连接安装应符合现行国家标准《建筑给水排水及采暖工程施工质量验收规范》</w:t>
      </w:r>
      <w:r>
        <w:rPr>
          <w:color w:val="auto"/>
          <w:highlight w:val="none"/>
        </w:rPr>
        <w:t>GB 50242</w:t>
      </w:r>
      <w:r>
        <w:rPr>
          <w:rFonts w:hint="eastAsia"/>
          <w:color w:val="auto"/>
          <w:highlight w:val="none"/>
        </w:rPr>
        <w:t>和《通风与空调工程施工质量验收规范》</w:t>
      </w:r>
      <w:r>
        <w:rPr>
          <w:color w:val="auto"/>
          <w:highlight w:val="none"/>
        </w:rPr>
        <w:t>GB 50243</w:t>
      </w:r>
      <w:r>
        <w:rPr>
          <w:rFonts w:hint="eastAsia"/>
          <w:color w:val="auto"/>
          <w:highlight w:val="none"/>
        </w:rPr>
        <w:t>的有关规定，并应符合下列规定：</w:t>
      </w:r>
    </w:p>
    <w:p>
      <w:pPr>
        <w:tabs>
          <w:tab w:val="left" w:pos="0"/>
        </w:tabs>
        <w:ind w:firstLine="440" w:firstLineChars="200"/>
        <w:rPr>
          <w:color w:val="auto"/>
          <w:highlight w:val="none"/>
        </w:rPr>
      </w:pPr>
      <w:r>
        <w:rPr>
          <w:b/>
          <w:bCs/>
          <w:color w:val="auto"/>
          <w:highlight w:val="none"/>
        </w:rPr>
        <w:t xml:space="preserve">1 </w:t>
      </w:r>
      <w:r>
        <w:rPr>
          <w:rFonts w:hint="eastAsia"/>
          <w:b/>
          <w:bCs/>
          <w:color w:val="auto"/>
          <w:highlight w:val="none"/>
        </w:rPr>
        <w:t xml:space="preserve"> </w:t>
      </w:r>
      <w:r>
        <w:rPr>
          <w:rFonts w:hint="eastAsia"/>
          <w:color w:val="auto"/>
          <w:highlight w:val="none"/>
        </w:rPr>
        <w:t>模块之间水管的连接应在模块拼装完成后实施，并应分别进行排水管灌水及通球试验，给水管道的严密性及强度试验；</w:t>
      </w:r>
    </w:p>
    <w:p>
      <w:pPr>
        <w:tabs>
          <w:tab w:val="left" w:pos="0"/>
        </w:tabs>
        <w:ind w:firstLine="440" w:firstLineChars="200"/>
        <w:rPr>
          <w:color w:val="auto"/>
          <w:highlight w:val="none"/>
        </w:rPr>
      </w:pPr>
      <w:r>
        <w:rPr>
          <w:b/>
          <w:bCs/>
          <w:color w:val="auto"/>
          <w:highlight w:val="none"/>
        </w:rPr>
        <w:t xml:space="preserve">2 </w:t>
      </w:r>
      <w:r>
        <w:rPr>
          <w:rFonts w:hint="eastAsia"/>
          <w:b/>
          <w:bCs/>
          <w:color w:val="auto"/>
          <w:highlight w:val="none"/>
        </w:rPr>
        <w:t xml:space="preserve"> </w:t>
      </w:r>
      <w:r>
        <w:rPr>
          <w:rFonts w:hint="eastAsia"/>
          <w:color w:val="auto"/>
          <w:highlight w:val="none"/>
        </w:rPr>
        <w:t>模块间风管的现场连接宜采用法兰连接。</w:t>
      </w:r>
    </w:p>
    <w:p>
      <w:pPr>
        <w:numPr>
          <w:ilvl w:val="0"/>
          <w:numId w:val="31"/>
        </w:numPr>
        <w:tabs>
          <w:tab w:val="left" w:pos="0"/>
        </w:tabs>
        <w:ind w:left="0" w:firstLine="0"/>
        <w:rPr>
          <w:color w:val="auto"/>
          <w:highlight w:val="none"/>
        </w:rPr>
      </w:pPr>
      <w:r>
        <w:rPr>
          <w:rFonts w:hint="eastAsia"/>
          <w:color w:val="auto"/>
          <w:highlight w:val="none"/>
        </w:rPr>
        <w:t>混凝土模块化建筑施工过程中，凡涉及临边与洞口作业、攀登与悬空作业、操作平台、交叉作业及安全网搭设的，应采取有效的高处作业安全技术措施。</w:t>
      </w:r>
    </w:p>
    <w:p>
      <w:pPr>
        <w:rPr>
          <w:color w:val="auto"/>
          <w:highlight w:val="none"/>
        </w:rPr>
      </w:pPr>
    </w:p>
    <w:p>
      <w:pPr>
        <w:rPr>
          <w:color w:val="auto"/>
          <w:highlight w:val="none"/>
        </w:rPr>
        <w:sectPr>
          <w:pgSz w:w="11906" w:h="16838"/>
          <w:pgMar w:top="1610" w:right="1349" w:bottom="1213" w:left="1293" w:header="851" w:footer="992" w:gutter="0"/>
          <w:cols w:space="720" w:num="1"/>
          <w:docGrid w:type="linesAndChars" w:linePitch="333" w:charSpace="2165"/>
        </w:sectPr>
      </w:pPr>
    </w:p>
    <w:p>
      <w:pPr>
        <w:pStyle w:val="2"/>
        <w:rPr>
          <w:b/>
          <w:bCs w:val="0"/>
          <w:color w:val="auto"/>
          <w:highlight w:val="none"/>
        </w:rPr>
      </w:pPr>
      <w:bookmarkStart w:id="1253" w:name="_Toc15174"/>
      <w:bookmarkStart w:id="1254" w:name="_Toc8025"/>
      <w:bookmarkStart w:id="1255" w:name="_Toc25308"/>
      <w:bookmarkStart w:id="1256" w:name="_Toc6788"/>
      <w:bookmarkStart w:id="1257" w:name="_Toc15129"/>
      <w:bookmarkStart w:id="1258" w:name="_Toc31115"/>
      <w:bookmarkStart w:id="1259" w:name="_Toc17935"/>
      <w:bookmarkStart w:id="1260" w:name="_Toc30912"/>
      <w:bookmarkStart w:id="1261" w:name="_Toc110958506"/>
      <w:bookmarkStart w:id="1262" w:name="_Toc13246"/>
      <w:bookmarkStart w:id="1263" w:name="_Toc6460"/>
      <w:bookmarkStart w:id="1264" w:name="_Toc31355"/>
      <w:bookmarkStart w:id="1265" w:name="_Toc27173"/>
      <w:bookmarkStart w:id="1266" w:name="_Toc8536"/>
      <w:bookmarkStart w:id="1267" w:name="_Toc20367"/>
      <w:bookmarkStart w:id="1268" w:name="_Toc5106"/>
      <w:bookmarkStart w:id="1269" w:name="_Toc12646"/>
      <w:bookmarkStart w:id="1270" w:name="_Toc1017"/>
      <w:bookmarkStart w:id="1271" w:name="_Toc787"/>
      <w:bookmarkStart w:id="1272" w:name="_Toc29499"/>
      <w:bookmarkStart w:id="1273" w:name="_Toc8381"/>
      <w:bookmarkStart w:id="1274" w:name="_Toc4075"/>
      <w:bookmarkStart w:id="1275" w:name="_Toc20218"/>
      <w:bookmarkStart w:id="1276" w:name="_Toc19673"/>
      <w:bookmarkStart w:id="1277" w:name="_Toc18008"/>
      <w:bookmarkStart w:id="1278" w:name="_Toc10755"/>
      <w:bookmarkStart w:id="1279" w:name="_Toc110952738"/>
      <w:bookmarkStart w:id="1280" w:name="_Toc19884"/>
      <w:bookmarkStart w:id="1281" w:name="_Toc25291"/>
      <w:bookmarkStart w:id="1282" w:name="_Toc9363"/>
      <w:bookmarkStart w:id="1283" w:name="_Toc22949"/>
      <w:bookmarkStart w:id="1284" w:name="_Toc17187"/>
      <w:bookmarkStart w:id="1285" w:name="_Toc20469"/>
      <w:bookmarkStart w:id="1286" w:name="_Toc9009"/>
      <w:bookmarkStart w:id="1287" w:name="_Toc20980"/>
      <w:r>
        <w:rPr>
          <w:b/>
          <w:bCs w:val="0"/>
          <w:color w:val="auto"/>
          <w:highlight w:val="none"/>
        </w:rPr>
        <w:t>1</w:t>
      </w:r>
      <w:r>
        <w:rPr>
          <w:rFonts w:hint="eastAsia"/>
          <w:b/>
          <w:bCs w:val="0"/>
          <w:color w:val="auto"/>
          <w:highlight w:val="none"/>
        </w:rPr>
        <w:t>0  质量验收</w:t>
      </w:r>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p>
    <w:p>
      <w:pPr>
        <w:pStyle w:val="4"/>
        <w:rPr>
          <w:color w:val="auto"/>
          <w:highlight w:val="none"/>
        </w:rPr>
      </w:pPr>
      <w:bookmarkStart w:id="1288" w:name="_Toc11000"/>
      <w:bookmarkStart w:id="1289" w:name="_Toc16250"/>
      <w:bookmarkStart w:id="1290" w:name="_Toc18918"/>
      <w:bookmarkStart w:id="1291" w:name="_Toc110952739"/>
      <w:bookmarkStart w:id="1292" w:name="_Toc1909"/>
      <w:bookmarkStart w:id="1293" w:name="_Toc17038"/>
      <w:bookmarkStart w:id="1294" w:name="_Toc19640"/>
      <w:bookmarkStart w:id="1295" w:name="_Toc28009"/>
      <w:bookmarkStart w:id="1296" w:name="_Toc8866"/>
      <w:bookmarkStart w:id="1297" w:name="_Toc7207"/>
      <w:bookmarkStart w:id="1298" w:name="_Toc25175"/>
      <w:bookmarkStart w:id="1299" w:name="_Toc12994"/>
      <w:bookmarkStart w:id="1300" w:name="_Toc19585"/>
      <w:bookmarkStart w:id="1301" w:name="_Toc11862"/>
      <w:bookmarkStart w:id="1302" w:name="_Toc8017"/>
      <w:bookmarkStart w:id="1303" w:name="_Toc30673"/>
      <w:bookmarkStart w:id="1304" w:name="_Toc27924"/>
      <w:bookmarkStart w:id="1305" w:name="_Toc14925"/>
      <w:bookmarkStart w:id="1306" w:name="_Toc10121"/>
      <w:bookmarkStart w:id="1307" w:name="_Toc5636"/>
      <w:bookmarkStart w:id="1308" w:name="_Toc16135"/>
      <w:bookmarkStart w:id="1309" w:name="_Toc13866"/>
      <w:bookmarkStart w:id="1310" w:name="_Toc10330"/>
      <w:bookmarkStart w:id="1311" w:name="_Toc21450"/>
      <w:bookmarkStart w:id="1312" w:name="_Toc11048"/>
      <w:bookmarkStart w:id="1313" w:name="_Toc15074"/>
      <w:bookmarkStart w:id="1314" w:name="_Toc19441"/>
      <w:bookmarkStart w:id="1315" w:name="_Toc25418"/>
      <w:bookmarkStart w:id="1316" w:name="_Toc4164"/>
      <w:bookmarkStart w:id="1317" w:name="_Toc110958507"/>
      <w:bookmarkStart w:id="1318" w:name="_Toc1353"/>
      <w:bookmarkStart w:id="1319" w:name="_Toc125"/>
      <w:bookmarkStart w:id="1320" w:name="_Toc30856"/>
      <w:bookmarkStart w:id="1321" w:name="_Toc31572"/>
      <w:bookmarkStart w:id="1322" w:name="_Toc13623"/>
      <w:r>
        <w:rPr>
          <w:b/>
          <w:bCs w:val="0"/>
          <w:color w:val="auto"/>
          <w:highlight w:val="none"/>
        </w:rPr>
        <w:t>1</w:t>
      </w:r>
      <w:r>
        <w:rPr>
          <w:rFonts w:hint="eastAsia"/>
          <w:b/>
          <w:bCs w:val="0"/>
          <w:color w:val="auto"/>
          <w:highlight w:val="none"/>
        </w:rPr>
        <w:t>0</w:t>
      </w:r>
      <w:r>
        <w:rPr>
          <w:rFonts w:hint="eastAsia" w:ascii="宋体" w:hAnsi="宋体" w:eastAsia="宋体"/>
          <w:color w:val="auto"/>
          <w:szCs w:val="21"/>
          <w:highlight w:val="none"/>
        </w:rPr>
        <w:t>.</w:t>
      </w:r>
      <w:r>
        <w:rPr>
          <w:b/>
          <w:bCs w:val="0"/>
          <w:color w:val="auto"/>
          <w:highlight w:val="none"/>
        </w:rPr>
        <w:t>1</w:t>
      </w:r>
      <w:r>
        <w:rPr>
          <w:rFonts w:hint="eastAsia"/>
          <w:color w:val="auto"/>
          <w:highlight w:val="none"/>
        </w:rPr>
        <w:t xml:space="preserve">  一般规定</w:t>
      </w:r>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p>
    <w:p>
      <w:pPr>
        <w:numPr>
          <w:ilvl w:val="0"/>
          <w:numId w:val="32"/>
        </w:numPr>
        <w:tabs>
          <w:tab w:val="left" w:pos="0"/>
        </w:tabs>
        <w:ind w:left="0" w:firstLine="0"/>
        <w:rPr>
          <w:color w:val="auto"/>
          <w:highlight w:val="none"/>
        </w:rPr>
      </w:pPr>
      <w:r>
        <w:rPr>
          <w:rFonts w:hint="eastAsia"/>
          <w:color w:val="auto"/>
          <w:highlight w:val="none"/>
        </w:rPr>
        <w:t>混凝土模块化建筑的检验批、分项工程、分部（子分部）及单位工程的验收，除本导则有特殊规定外，尚应符合现行国家标准《建筑与市政工程施工质量控制通用规范》GB 55032、《</w:t>
      </w:r>
      <w:bookmarkStart w:id="1323" w:name="_Hlk198918374"/>
      <w:r>
        <w:rPr>
          <w:rFonts w:hint="eastAsia"/>
          <w:color w:val="auto"/>
          <w:highlight w:val="none"/>
        </w:rPr>
        <w:t>建筑工程施工质量验收统一标准》</w:t>
      </w:r>
      <w:r>
        <w:rPr>
          <w:color w:val="auto"/>
          <w:highlight w:val="none"/>
        </w:rPr>
        <w:t>GB 50300</w:t>
      </w:r>
      <w:bookmarkEnd w:id="1323"/>
      <w:r>
        <w:rPr>
          <w:rFonts w:hint="eastAsia"/>
          <w:color w:val="auto"/>
          <w:highlight w:val="none"/>
        </w:rPr>
        <w:t>、《混凝土结构工程施工质量验收规范》</w:t>
      </w:r>
      <w:r>
        <w:rPr>
          <w:color w:val="auto"/>
          <w:highlight w:val="none"/>
        </w:rPr>
        <w:t>GB 50204</w:t>
      </w:r>
      <w:r>
        <w:rPr>
          <w:rFonts w:hint="eastAsia"/>
          <w:color w:val="auto"/>
          <w:highlight w:val="none"/>
        </w:rPr>
        <w:t>及上海市地方标准《装配整体式混凝土结构施工及质量验收规范》DGJ 08-2117的有关规定。</w:t>
      </w:r>
    </w:p>
    <w:p>
      <w:pPr>
        <w:numPr>
          <w:ilvl w:val="0"/>
          <w:numId w:val="32"/>
        </w:numPr>
        <w:tabs>
          <w:tab w:val="left" w:pos="0"/>
        </w:tabs>
        <w:ind w:left="0" w:firstLine="0"/>
        <w:rPr>
          <w:color w:val="auto"/>
          <w:highlight w:val="none"/>
        </w:rPr>
      </w:pPr>
      <w:r>
        <w:rPr>
          <w:rFonts w:hint="eastAsia"/>
          <w:color w:val="auto"/>
          <w:highlight w:val="none"/>
        </w:rPr>
        <w:t>施工单位应按照本导则的有关规定编制模块化项目的质量检查与验收方案，经监理、建设单位审批完</w:t>
      </w:r>
      <w:r>
        <w:rPr>
          <w:rFonts w:hint="eastAsia"/>
          <w:color w:val="auto"/>
          <w:highlight w:val="none"/>
          <w:lang w:eastAsia="zh-CN"/>
        </w:rPr>
        <w:t>成后</w:t>
      </w:r>
      <w:r>
        <w:rPr>
          <w:rFonts w:hint="eastAsia"/>
          <w:color w:val="auto"/>
          <w:highlight w:val="none"/>
        </w:rPr>
        <w:t>，方可实施。</w:t>
      </w:r>
    </w:p>
    <w:p>
      <w:pPr>
        <w:numPr>
          <w:ilvl w:val="0"/>
          <w:numId w:val="32"/>
        </w:numPr>
        <w:tabs>
          <w:tab w:val="left" w:pos="0"/>
        </w:tabs>
        <w:ind w:left="0" w:firstLine="0"/>
        <w:rPr>
          <w:color w:val="auto"/>
          <w:highlight w:val="none"/>
        </w:rPr>
      </w:pPr>
      <w:r>
        <w:rPr>
          <w:rFonts w:hint="eastAsia"/>
          <w:color w:val="auto"/>
          <w:highlight w:val="none"/>
        </w:rPr>
        <w:t>应在施工现场选择模块首层或具有代表性的楼层进行首段验收</w:t>
      </w:r>
      <w:r>
        <w:rPr>
          <w:rFonts w:hint="eastAsia"/>
          <w:iCs/>
          <w:color w:val="auto"/>
          <w:highlight w:val="none"/>
        </w:rPr>
        <w:t>，</w:t>
      </w:r>
      <w:r>
        <w:rPr>
          <w:rFonts w:hint="eastAsia"/>
          <w:color w:val="auto"/>
          <w:highlight w:val="none"/>
        </w:rPr>
        <w:t>经建设、设计、施工、制造、监理单位联合验收合格后方可全面施工。</w:t>
      </w:r>
    </w:p>
    <w:p>
      <w:pPr>
        <w:numPr>
          <w:ilvl w:val="0"/>
          <w:numId w:val="32"/>
        </w:numPr>
        <w:tabs>
          <w:tab w:val="left" w:pos="0"/>
        </w:tabs>
        <w:ind w:left="0" w:firstLine="0"/>
        <w:rPr>
          <w:color w:val="auto"/>
          <w:highlight w:val="none"/>
        </w:rPr>
      </w:pPr>
      <w:r>
        <w:rPr>
          <w:rFonts w:hint="eastAsia"/>
          <w:color w:val="auto"/>
          <w:highlight w:val="none"/>
        </w:rPr>
        <w:t>模块单元的混凝土结构应按混凝土结构子分部工程进行验收，模块单元的砌体结构应按砌体结构子分部工程进行验收；主体结构中其他子分部及分项工程应符合现行国家标准《混凝土结构工程施工质量验收规范》GB 50204的有关规定。</w:t>
      </w:r>
    </w:p>
    <w:p>
      <w:pPr>
        <w:numPr>
          <w:ilvl w:val="0"/>
          <w:numId w:val="32"/>
        </w:numPr>
        <w:tabs>
          <w:tab w:val="left" w:pos="0"/>
        </w:tabs>
        <w:ind w:left="0" w:firstLine="0"/>
        <w:rPr>
          <w:color w:val="auto"/>
          <w:highlight w:val="none"/>
        </w:rPr>
      </w:pPr>
      <w:r>
        <w:rPr>
          <w:rFonts w:hint="eastAsia"/>
          <w:color w:val="auto"/>
          <w:highlight w:val="none"/>
        </w:rPr>
        <w:t>模块单元的装饰装修、给水排水及供暖、通风与空调、电气、智能建筑和建筑节能应分别按照其对应的分部工程进行验收，并应符合下列规定：</w:t>
      </w:r>
    </w:p>
    <w:p>
      <w:pPr>
        <w:ind w:firstLine="441"/>
        <w:rPr>
          <w:color w:val="auto"/>
          <w:highlight w:val="none"/>
        </w:rPr>
      </w:pPr>
      <w:r>
        <w:rPr>
          <w:rFonts w:hint="eastAsia"/>
          <w:b/>
          <w:bCs/>
          <w:color w:val="auto"/>
          <w:highlight w:val="none"/>
        </w:rPr>
        <w:t>1</w:t>
      </w:r>
      <w:r>
        <w:rPr>
          <w:rFonts w:hint="eastAsia"/>
          <w:color w:val="auto"/>
          <w:highlight w:val="none"/>
        </w:rPr>
        <w:t xml:space="preserve">  模块单元装饰装修工程的施工质量要求和验收标准应符合国家现行标准《建筑装饰装修工程质量验收标准》GB 50210、《建筑轻质条板隔墙技术规程》JGJ/T 157和《公共建筑吊顶工程技术规程》JGJ 345的有关规定；</w:t>
      </w:r>
    </w:p>
    <w:p>
      <w:pPr>
        <w:ind w:firstLine="441"/>
        <w:rPr>
          <w:color w:val="auto"/>
          <w:highlight w:val="none"/>
        </w:rPr>
      </w:pPr>
      <w:r>
        <w:rPr>
          <w:rFonts w:hint="eastAsia"/>
          <w:b/>
          <w:bCs/>
          <w:color w:val="auto"/>
          <w:highlight w:val="none"/>
        </w:rPr>
        <w:t>2</w:t>
      </w:r>
      <w:r>
        <w:rPr>
          <w:rFonts w:hint="eastAsia"/>
          <w:color w:val="auto"/>
          <w:highlight w:val="none"/>
        </w:rPr>
        <w:t xml:space="preserve">  模块单元给水排水及供暖工程的施工质量要求和验收标准应符合国家现行标准《建筑给水排水及采暖工程施工质量验收规范》GB 50242的有关规定；</w:t>
      </w:r>
    </w:p>
    <w:p>
      <w:pPr>
        <w:ind w:firstLine="441"/>
        <w:rPr>
          <w:color w:val="auto"/>
          <w:highlight w:val="none"/>
        </w:rPr>
      </w:pPr>
      <w:r>
        <w:rPr>
          <w:rFonts w:hint="eastAsia"/>
          <w:b/>
          <w:bCs/>
          <w:color w:val="auto"/>
          <w:highlight w:val="none"/>
        </w:rPr>
        <w:t>3</w:t>
      </w:r>
      <w:r>
        <w:rPr>
          <w:rFonts w:hint="eastAsia"/>
          <w:color w:val="auto"/>
          <w:highlight w:val="none"/>
        </w:rPr>
        <w:t xml:space="preserve">  模块单元通风与空调工程的施工质量要求和验收标准应符合现行国家标准《通风与空调工程施工质量验收规范》GB 50243的有关规定；</w:t>
      </w:r>
    </w:p>
    <w:p>
      <w:pPr>
        <w:ind w:firstLine="440" w:firstLineChars="200"/>
        <w:rPr>
          <w:color w:val="auto"/>
          <w:highlight w:val="none"/>
        </w:rPr>
      </w:pPr>
      <w:r>
        <w:rPr>
          <w:rFonts w:hint="eastAsia"/>
          <w:b/>
          <w:bCs/>
          <w:color w:val="auto"/>
          <w:highlight w:val="none"/>
        </w:rPr>
        <w:t>4</w:t>
      </w:r>
      <w:r>
        <w:rPr>
          <w:rFonts w:hint="eastAsia"/>
          <w:color w:val="auto"/>
          <w:highlight w:val="none"/>
        </w:rPr>
        <w:t xml:space="preserve">  模块单元电气工程的施工质量要求和验收标准应符合现行国家标准《建筑电气工程施工质量验收规范》GB 50303及《火灾自动报警系统施工及验收标准》GB 50166的有关规定；</w:t>
      </w:r>
    </w:p>
    <w:p>
      <w:pPr>
        <w:tabs>
          <w:tab w:val="left" w:pos="0"/>
        </w:tabs>
        <w:ind w:firstLine="440" w:firstLineChars="200"/>
        <w:rPr>
          <w:color w:val="auto"/>
          <w:highlight w:val="none"/>
        </w:rPr>
      </w:pPr>
      <w:r>
        <w:rPr>
          <w:rFonts w:hint="eastAsia"/>
          <w:b/>
          <w:bCs/>
          <w:color w:val="auto"/>
          <w:highlight w:val="none"/>
        </w:rPr>
        <w:t>5</w:t>
      </w:r>
      <w:r>
        <w:rPr>
          <w:rFonts w:hint="eastAsia"/>
          <w:color w:val="auto"/>
          <w:highlight w:val="none"/>
        </w:rPr>
        <w:t xml:space="preserve">  模块单元智能建筑工程的施工质量和验收标准应符合现行国家规范《</w:t>
      </w:r>
      <w:bookmarkStart w:id="1324" w:name="_Hlk198975062"/>
      <w:r>
        <w:rPr>
          <w:rFonts w:hint="eastAsia"/>
          <w:color w:val="auto"/>
          <w:highlight w:val="none"/>
        </w:rPr>
        <w:t>智能建筑工程质量验收规范》GB 50339</w:t>
      </w:r>
      <w:bookmarkEnd w:id="1324"/>
      <w:r>
        <w:rPr>
          <w:rFonts w:hint="eastAsia"/>
          <w:color w:val="auto"/>
          <w:highlight w:val="none"/>
        </w:rPr>
        <w:t>的有关规定；</w:t>
      </w:r>
    </w:p>
    <w:p>
      <w:pPr>
        <w:ind w:firstLine="440" w:firstLineChars="200"/>
        <w:rPr>
          <w:color w:val="auto"/>
          <w:highlight w:val="none"/>
        </w:rPr>
      </w:pPr>
      <w:r>
        <w:rPr>
          <w:rFonts w:hint="eastAsia"/>
          <w:b/>
          <w:bCs/>
          <w:color w:val="auto"/>
          <w:highlight w:val="none"/>
        </w:rPr>
        <w:t>6</w:t>
      </w:r>
      <w:r>
        <w:rPr>
          <w:rFonts w:hint="eastAsia"/>
          <w:color w:val="auto"/>
          <w:highlight w:val="none"/>
        </w:rPr>
        <w:t xml:space="preserve">  模块单元建筑节能工程的施工质量和验收标准应符合现行国家标准《建筑节能工程施工质量验收规程》GB 50411等有关规定。</w:t>
      </w:r>
    </w:p>
    <w:p>
      <w:pPr>
        <w:numPr>
          <w:ilvl w:val="0"/>
          <w:numId w:val="32"/>
        </w:numPr>
        <w:tabs>
          <w:tab w:val="left" w:pos="0"/>
        </w:tabs>
        <w:ind w:left="0" w:firstLine="0"/>
        <w:rPr>
          <w:color w:val="auto"/>
          <w:highlight w:val="none"/>
        </w:rPr>
      </w:pPr>
      <w:r>
        <w:rPr>
          <w:rFonts w:hint="eastAsia"/>
          <w:color w:val="auto"/>
          <w:highlight w:val="none"/>
        </w:rPr>
        <w:t>混凝土模块化建筑主体结构验收时，应提供下列文件和记录：</w:t>
      </w:r>
    </w:p>
    <w:p>
      <w:pPr>
        <w:ind w:firstLine="440" w:firstLineChars="200"/>
        <w:rPr>
          <w:color w:val="auto"/>
          <w:highlight w:val="none"/>
        </w:rPr>
      </w:pPr>
      <w:bookmarkStart w:id="1325" w:name="_Toc2128"/>
      <w:bookmarkStart w:id="1326" w:name="_Toc3314"/>
      <w:r>
        <w:rPr>
          <w:b/>
          <w:color w:val="auto"/>
          <w:highlight w:val="none"/>
        </w:rPr>
        <w:t xml:space="preserve">1  </w:t>
      </w:r>
      <w:r>
        <w:rPr>
          <w:rFonts w:hint="eastAsia"/>
          <w:color w:val="auto"/>
          <w:highlight w:val="none"/>
        </w:rPr>
        <w:t>工程设计文件、模块单元制造和安装的加工图；</w:t>
      </w:r>
      <w:bookmarkEnd w:id="1325"/>
      <w:bookmarkEnd w:id="1326"/>
    </w:p>
    <w:p>
      <w:pPr>
        <w:ind w:firstLine="440" w:firstLineChars="200"/>
        <w:rPr>
          <w:color w:val="auto"/>
          <w:highlight w:val="none"/>
        </w:rPr>
      </w:pPr>
      <w:r>
        <w:rPr>
          <w:b/>
          <w:color w:val="auto"/>
          <w:highlight w:val="none"/>
        </w:rPr>
        <w:t xml:space="preserve">2  </w:t>
      </w:r>
      <w:r>
        <w:rPr>
          <w:rFonts w:hint="eastAsia"/>
          <w:color w:val="auto"/>
          <w:highlight w:val="none"/>
        </w:rPr>
        <w:t>模块单元、主要材料及配件的产品合格证、质量证明文件、进场验收记录、抽样复验报告；</w:t>
      </w:r>
    </w:p>
    <w:p>
      <w:pPr>
        <w:ind w:firstLine="440" w:firstLineChars="200"/>
        <w:rPr>
          <w:color w:val="auto"/>
          <w:highlight w:val="none"/>
        </w:rPr>
      </w:pPr>
      <w:r>
        <w:rPr>
          <w:b/>
          <w:color w:val="auto"/>
          <w:highlight w:val="none"/>
        </w:rPr>
        <w:t xml:space="preserve">3  </w:t>
      </w:r>
      <w:r>
        <w:rPr>
          <w:rFonts w:hint="eastAsia"/>
          <w:color w:val="auto"/>
          <w:highlight w:val="none"/>
        </w:rPr>
        <w:t>模块单元安装施工记录；</w:t>
      </w:r>
    </w:p>
    <w:p>
      <w:pPr>
        <w:ind w:firstLine="440" w:firstLineChars="200"/>
        <w:rPr>
          <w:color w:val="auto"/>
          <w:highlight w:val="none"/>
        </w:rPr>
      </w:pPr>
      <w:r>
        <w:rPr>
          <w:b/>
          <w:color w:val="auto"/>
          <w:highlight w:val="none"/>
        </w:rPr>
        <w:t xml:space="preserve">4  </w:t>
      </w:r>
      <w:r>
        <w:rPr>
          <w:rFonts w:hint="eastAsia"/>
          <w:color w:val="auto"/>
          <w:highlight w:val="none"/>
        </w:rPr>
        <w:t>现浇混凝土部位的隐蔽工程检查验收文件；</w:t>
      </w:r>
    </w:p>
    <w:p>
      <w:pPr>
        <w:ind w:firstLine="440" w:firstLineChars="200"/>
        <w:rPr>
          <w:color w:val="auto"/>
          <w:highlight w:val="none"/>
        </w:rPr>
      </w:pPr>
      <w:r>
        <w:rPr>
          <w:b/>
          <w:color w:val="auto"/>
          <w:highlight w:val="none"/>
        </w:rPr>
        <w:t xml:space="preserve">5  </w:t>
      </w:r>
      <w:r>
        <w:rPr>
          <w:rFonts w:hint="eastAsia"/>
          <w:color w:val="auto"/>
          <w:highlight w:val="none"/>
        </w:rPr>
        <w:t>现浇混凝土、灌浆料、坐浆材料强度检测报告；</w:t>
      </w:r>
    </w:p>
    <w:p>
      <w:pPr>
        <w:ind w:firstLine="440" w:firstLineChars="200"/>
        <w:rPr>
          <w:color w:val="auto"/>
          <w:highlight w:val="none"/>
        </w:rPr>
      </w:pPr>
      <w:r>
        <w:rPr>
          <w:b/>
          <w:color w:val="auto"/>
          <w:highlight w:val="none"/>
        </w:rPr>
        <w:t xml:space="preserve">6  </w:t>
      </w:r>
      <w:r>
        <w:rPr>
          <w:rFonts w:hint="eastAsia"/>
          <w:color w:val="auto"/>
          <w:highlight w:val="none"/>
        </w:rPr>
        <w:t>墙模后浇混凝土的施工检验记录；</w:t>
      </w:r>
    </w:p>
    <w:p>
      <w:pPr>
        <w:ind w:firstLine="440" w:firstLineChars="200"/>
        <w:rPr>
          <w:color w:val="auto"/>
          <w:highlight w:val="none"/>
        </w:rPr>
      </w:pPr>
      <w:r>
        <w:rPr>
          <w:b/>
          <w:color w:val="auto"/>
          <w:highlight w:val="none"/>
        </w:rPr>
        <w:t xml:space="preserve">7  </w:t>
      </w:r>
      <w:r>
        <w:rPr>
          <w:rFonts w:hint="eastAsia"/>
          <w:color w:val="auto"/>
          <w:highlight w:val="none"/>
        </w:rPr>
        <w:t>外墙防水施工质量检验记录；</w:t>
      </w:r>
    </w:p>
    <w:p>
      <w:pPr>
        <w:ind w:firstLine="440" w:firstLineChars="200"/>
        <w:rPr>
          <w:color w:val="auto"/>
          <w:highlight w:val="none"/>
        </w:rPr>
      </w:pPr>
      <w:r>
        <w:rPr>
          <w:b/>
          <w:color w:val="auto"/>
          <w:highlight w:val="none"/>
        </w:rPr>
        <w:t xml:space="preserve">8  </w:t>
      </w:r>
      <w:r>
        <w:rPr>
          <w:rFonts w:hint="eastAsia"/>
          <w:color w:val="auto"/>
          <w:highlight w:val="none"/>
        </w:rPr>
        <w:t>混凝土模块化建筑工程的重大质量问题的处理方案和验收记录；</w:t>
      </w:r>
    </w:p>
    <w:p>
      <w:pPr>
        <w:ind w:firstLine="440" w:firstLineChars="200"/>
        <w:rPr>
          <w:color w:val="auto"/>
          <w:highlight w:val="none"/>
        </w:rPr>
      </w:pPr>
      <w:bookmarkStart w:id="1327" w:name="_Toc19105"/>
      <w:bookmarkStart w:id="1328" w:name="_Toc15318"/>
      <w:r>
        <w:rPr>
          <w:rFonts w:hint="eastAsia"/>
          <w:b/>
          <w:color w:val="auto"/>
          <w:highlight w:val="none"/>
        </w:rPr>
        <w:t>9</w:t>
      </w:r>
      <w:r>
        <w:rPr>
          <w:b/>
          <w:color w:val="auto"/>
          <w:highlight w:val="none"/>
        </w:rPr>
        <w:t xml:space="preserve">  </w:t>
      </w:r>
      <w:r>
        <w:rPr>
          <w:rFonts w:hint="eastAsia"/>
          <w:color w:val="auto"/>
          <w:highlight w:val="none"/>
        </w:rPr>
        <w:t>混凝土模块化建筑工程的其他文件和记录；</w:t>
      </w:r>
      <w:bookmarkEnd w:id="1327"/>
      <w:bookmarkEnd w:id="1328"/>
    </w:p>
    <w:p>
      <w:pPr>
        <w:ind w:firstLine="440" w:firstLineChars="200"/>
        <w:rPr>
          <w:color w:val="auto"/>
          <w:highlight w:val="none"/>
        </w:rPr>
      </w:pPr>
      <w:r>
        <w:rPr>
          <w:b/>
          <w:bCs/>
          <w:color w:val="auto"/>
          <w:highlight w:val="none"/>
        </w:rPr>
        <w:t>10</w:t>
      </w:r>
      <w:r>
        <w:rPr>
          <w:rFonts w:hint="eastAsia"/>
          <w:color w:val="auto"/>
          <w:highlight w:val="none"/>
        </w:rPr>
        <w:t xml:space="preserve">  钢筋套筒灌浆型式检验报告、工艺检验报告和施工检验记录，浆锚搭接连接的施工检验记录。</w:t>
      </w:r>
    </w:p>
    <w:p>
      <w:pPr>
        <w:pStyle w:val="4"/>
        <w:ind w:left="190"/>
        <w:rPr>
          <w:color w:val="auto"/>
          <w:highlight w:val="none"/>
        </w:rPr>
      </w:pPr>
      <w:bookmarkStart w:id="1329" w:name="_Toc110952740"/>
      <w:bookmarkStart w:id="1330" w:name="_Toc110958508"/>
      <w:bookmarkStart w:id="1331" w:name="_Toc21693"/>
      <w:bookmarkStart w:id="1332" w:name="_Toc29331"/>
      <w:bookmarkStart w:id="1333" w:name="_Toc8818"/>
      <w:bookmarkStart w:id="1334" w:name="_Toc18496"/>
      <w:bookmarkStart w:id="1335" w:name="_Toc9546"/>
      <w:bookmarkStart w:id="1336" w:name="_Toc16904"/>
      <w:bookmarkStart w:id="1337" w:name="_Toc1227"/>
      <w:bookmarkStart w:id="1338" w:name="_Toc1715"/>
      <w:bookmarkStart w:id="1339" w:name="_Toc18277"/>
      <w:bookmarkStart w:id="1340" w:name="_Toc3393"/>
      <w:bookmarkStart w:id="1341" w:name="_Toc27805"/>
      <w:bookmarkStart w:id="1342" w:name="_Toc19795"/>
      <w:bookmarkStart w:id="1343" w:name="_Toc10557"/>
      <w:bookmarkStart w:id="1344" w:name="_Toc20724"/>
      <w:bookmarkStart w:id="1345" w:name="_Toc12747"/>
      <w:bookmarkStart w:id="1346" w:name="_Toc31070"/>
      <w:bookmarkStart w:id="1347" w:name="_Toc4710"/>
      <w:bookmarkStart w:id="1348" w:name="_Toc19122"/>
      <w:bookmarkStart w:id="1349" w:name="_Toc29027"/>
      <w:bookmarkStart w:id="1350" w:name="_Toc4953"/>
      <w:bookmarkStart w:id="1351" w:name="_Toc11642"/>
      <w:bookmarkStart w:id="1352" w:name="_Toc16092"/>
      <w:bookmarkStart w:id="1353" w:name="_Toc2164"/>
      <w:bookmarkStart w:id="1354" w:name="_Toc19069"/>
      <w:bookmarkStart w:id="1355" w:name="_Toc10278"/>
      <w:bookmarkStart w:id="1356" w:name="_Toc30089"/>
      <w:bookmarkStart w:id="1357" w:name="_Toc24721"/>
      <w:bookmarkStart w:id="1358" w:name="_Toc4472"/>
      <w:bookmarkStart w:id="1359" w:name="_Toc22313"/>
      <w:bookmarkStart w:id="1360" w:name="_Toc16677"/>
      <w:bookmarkStart w:id="1361" w:name="_Toc26259"/>
      <w:bookmarkStart w:id="1362" w:name="_Toc32709"/>
      <w:bookmarkStart w:id="1363" w:name="_Toc10997"/>
      <w:r>
        <w:rPr>
          <w:b/>
          <w:bCs w:val="0"/>
          <w:color w:val="auto"/>
          <w:highlight w:val="none"/>
        </w:rPr>
        <w:t>1</w:t>
      </w:r>
      <w:r>
        <w:rPr>
          <w:rFonts w:hint="eastAsia"/>
          <w:b/>
          <w:bCs w:val="0"/>
          <w:color w:val="auto"/>
          <w:highlight w:val="none"/>
        </w:rPr>
        <w:t>0</w:t>
      </w:r>
      <w:r>
        <w:rPr>
          <w:rFonts w:hint="eastAsia" w:ascii="宋体" w:hAnsi="宋体" w:eastAsia="宋体"/>
          <w:color w:val="auto"/>
          <w:szCs w:val="21"/>
          <w:highlight w:val="none"/>
        </w:rPr>
        <w:t>.</w:t>
      </w:r>
      <w:r>
        <w:rPr>
          <w:rFonts w:hint="eastAsia"/>
          <w:b/>
          <w:bCs w:val="0"/>
          <w:color w:val="auto"/>
          <w:highlight w:val="none"/>
        </w:rPr>
        <w:t>2</w:t>
      </w:r>
      <w:r>
        <w:rPr>
          <w:rFonts w:hint="eastAsia"/>
          <w:color w:val="auto"/>
          <w:highlight w:val="none"/>
        </w:rPr>
        <w:t xml:space="preserve">  模块单元</w:t>
      </w:r>
      <w:bookmarkEnd w:id="1329"/>
      <w:bookmarkEnd w:id="1330"/>
      <w:r>
        <w:rPr>
          <w:rFonts w:hint="eastAsia"/>
          <w:color w:val="auto"/>
          <w:highlight w:val="none"/>
        </w:rPr>
        <w:t>进场验收</w:t>
      </w:r>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p>
    <w:p>
      <w:pPr>
        <w:numPr>
          <w:ilvl w:val="0"/>
          <w:numId w:val="33"/>
        </w:numPr>
        <w:rPr>
          <w:color w:val="auto"/>
          <w:highlight w:val="none"/>
        </w:rPr>
      </w:pPr>
      <w:r>
        <w:rPr>
          <w:rFonts w:hint="eastAsia"/>
          <w:color w:val="auto"/>
          <w:highlight w:val="none"/>
        </w:rPr>
        <w:t>模块单元的品种、规格、性能应符合设计文件的规定，产品进场时应检查模块单元的产品合格证、质量证明文件及产品说明书。</w:t>
      </w:r>
    </w:p>
    <w:p>
      <w:pPr>
        <w:ind w:firstLine="440" w:firstLineChars="200"/>
        <w:rPr>
          <w:color w:val="auto"/>
          <w:highlight w:val="none"/>
        </w:rPr>
      </w:pPr>
      <w:r>
        <w:rPr>
          <w:rFonts w:hint="eastAsia"/>
          <w:color w:val="auto"/>
          <w:highlight w:val="none"/>
        </w:rPr>
        <w:t>检查数量：全数检查。</w:t>
      </w:r>
    </w:p>
    <w:p>
      <w:pPr>
        <w:ind w:firstLine="440" w:firstLineChars="200"/>
        <w:rPr>
          <w:color w:val="auto"/>
          <w:highlight w:val="none"/>
        </w:rPr>
      </w:pPr>
      <w:r>
        <w:rPr>
          <w:rFonts w:hint="eastAsia"/>
          <w:color w:val="auto"/>
          <w:highlight w:val="none"/>
        </w:rPr>
        <w:t>检验方法：检查相关文件。</w:t>
      </w:r>
    </w:p>
    <w:p>
      <w:pPr>
        <w:numPr>
          <w:ilvl w:val="0"/>
          <w:numId w:val="33"/>
        </w:numPr>
        <w:rPr>
          <w:color w:val="auto"/>
          <w:highlight w:val="none"/>
        </w:rPr>
      </w:pPr>
      <w:r>
        <w:rPr>
          <w:rFonts w:hint="eastAsia"/>
          <w:color w:val="auto"/>
          <w:highlight w:val="none"/>
        </w:rPr>
        <w:t>模块单元的混凝土外观质量不应有严重缺陷，且不应有影响结构性能、安装和使用功能的尺寸偏差。</w:t>
      </w:r>
    </w:p>
    <w:p>
      <w:pPr>
        <w:ind w:firstLine="440" w:firstLineChars="200"/>
        <w:rPr>
          <w:color w:val="auto"/>
          <w:highlight w:val="none"/>
        </w:rPr>
      </w:pPr>
      <w:r>
        <w:rPr>
          <w:rFonts w:hint="eastAsia"/>
          <w:color w:val="auto"/>
          <w:highlight w:val="none"/>
        </w:rPr>
        <w:t>检查数量：全数检查。</w:t>
      </w:r>
    </w:p>
    <w:p>
      <w:pPr>
        <w:ind w:firstLine="440" w:firstLineChars="200"/>
        <w:rPr>
          <w:color w:val="auto"/>
          <w:highlight w:val="none"/>
        </w:rPr>
      </w:pPr>
      <w:r>
        <w:rPr>
          <w:rFonts w:hint="eastAsia"/>
          <w:color w:val="auto"/>
          <w:highlight w:val="none"/>
        </w:rPr>
        <w:t>检验方法：观察、尺量；检查处理记录。</w:t>
      </w:r>
    </w:p>
    <w:p>
      <w:pPr>
        <w:numPr>
          <w:ilvl w:val="0"/>
          <w:numId w:val="33"/>
        </w:numPr>
        <w:rPr>
          <w:color w:val="auto"/>
          <w:highlight w:val="none"/>
        </w:rPr>
      </w:pPr>
      <w:r>
        <w:rPr>
          <w:rFonts w:hint="eastAsia"/>
          <w:color w:val="auto"/>
          <w:highlight w:val="none"/>
        </w:rPr>
        <w:t>模块单元外观质量不应有一般缺陷，对出现的一般缺陷应要求模块制造单位按技术处理方案进行处理，并重新检查验收。</w:t>
      </w:r>
    </w:p>
    <w:p>
      <w:pPr>
        <w:ind w:firstLine="440" w:firstLineChars="200"/>
        <w:rPr>
          <w:color w:val="auto"/>
          <w:highlight w:val="none"/>
        </w:rPr>
      </w:pPr>
      <w:r>
        <w:rPr>
          <w:rFonts w:hint="eastAsia"/>
          <w:color w:val="auto"/>
          <w:highlight w:val="none"/>
        </w:rPr>
        <w:t>检查数量：全数检查。</w:t>
      </w:r>
    </w:p>
    <w:p>
      <w:pPr>
        <w:ind w:firstLine="440" w:firstLineChars="200"/>
        <w:rPr>
          <w:color w:val="auto"/>
          <w:highlight w:val="none"/>
        </w:rPr>
      </w:pPr>
      <w:r>
        <w:rPr>
          <w:rFonts w:hint="eastAsia"/>
          <w:color w:val="auto"/>
          <w:highlight w:val="none"/>
        </w:rPr>
        <w:t>检验方法：观察，检查技术处理方案和处理记录。</w:t>
      </w:r>
    </w:p>
    <w:p>
      <w:pPr>
        <w:numPr>
          <w:ilvl w:val="0"/>
          <w:numId w:val="33"/>
        </w:numPr>
        <w:rPr>
          <w:color w:val="auto"/>
          <w:highlight w:val="none"/>
        </w:rPr>
      </w:pPr>
      <w:r>
        <w:rPr>
          <w:rFonts w:hint="eastAsia"/>
          <w:color w:val="auto"/>
          <w:highlight w:val="none"/>
        </w:rPr>
        <w:t>模块单元粗糙面的外观质量、键槽的外观质量和数量应符合设计要求。</w:t>
      </w:r>
    </w:p>
    <w:p>
      <w:pPr>
        <w:ind w:firstLine="440" w:firstLineChars="200"/>
        <w:rPr>
          <w:color w:val="auto"/>
          <w:highlight w:val="none"/>
        </w:rPr>
      </w:pPr>
      <w:r>
        <w:rPr>
          <w:rFonts w:hint="eastAsia"/>
          <w:color w:val="auto"/>
          <w:highlight w:val="none"/>
        </w:rPr>
        <w:t>检查数量：全数检查。</w:t>
      </w:r>
    </w:p>
    <w:p>
      <w:pPr>
        <w:ind w:firstLine="440" w:firstLineChars="200"/>
        <w:rPr>
          <w:color w:val="auto"/>
          <w:highlight w:val="none"/>
        </w:rPr>
      </w:pPr>
      <w:r>
        <w:rPr>
          <w:rFonts w:hint="eastAsia"/>
          <w:color w:val="auto"/>
          <w:highlight w:val="none"/>
        </w:rPr>
        <w:t>检验方法：观察，量测。</w:t>
      </w:r>
    </w:p>
    <w:p>
      <w:pPr>
        <w:numPr>
          <w:ilvl w:val="0"/>
          <w:numId w:val="33"/>
        </w:numPr>
        <w:rPr>
          <w:color w:val="auto"/>
          <w:highlight w:val="none"/>
        </w:rPr>
      </w:pPr>
      <w:r>
        <w:rPr>
          <w:rFonts w:hint="eastAsia"/>
          <w:color w:val="auto"/>
          <w:highlight w:val="none"/>
        </w:rPr>
        <w:t>模块单元外形尺寸偏差和检验方法应分别符合本导则表8.5.5的规定。</w:t>
      </w:r>
    </w:p>
    <w:p>
      <w:pPr>
        <w:ind w:left="190" w:firstLine="440" w:firstLineChars="200"/>
        <w:rPr>
          <w:color w:val="auto"/>
          <w:highlight w:val="none"/>
        </w:rPr>
      </w:pPr>
      <w:r>
        <w:rPr>
          <w:rFonts w:hint="eastAsia"/>
          <w:color w:val="auto"/>
          <w:highlight w:val="none"/>
        </w:rPr>
        <w:t>检查数量：同一种类的模块单元每次抽检数量不应少于该品种数量的</w:t>
      </w:r>
      <w:r>
        <w:rPr>
          <w:color w:val="auto"/>
          <w:highlight w:val="none"/>
        </w:rPr>
        <w:t>3</w:t>
      </w:r>
      <w:r>
        <w:rPr>
          <w:rFonts w:hint="eastAsia"/>
          <w:color w:val="auto"/>
          <w:highlight w:val="none"/>
        </w:rPr>
        <w:t>%，且不少于</w:t>
      </w:r>
      <w:r>
        <w:rPr>
          <w:color w:val="auto"/>
          <w:highlight w:val="none"/>
        </w:rPr>
        <w:t>1</w:t>
      </w:r>
      <w:r>
        <w:rPr>
          <w:rFonts w:hint="eastAsia"/>
          <w:color w:val="auto"/>
          <w:highlight w:val="none"/>
        </w:rPr>
        <w:t>件。</w:t>
      </w:r>
    </w:p>
    <w:p>
      <w:pPr>
        <w:numPr>
          <w:ilvl w:val="0"/>
          <w:numId w:val="33"/>
        </w:numPr>
        <w:rPr>
          <w:color w:val="auto"/>
          <w:highlight w:val="none"/>
        </w:rPr>
      </w:pPr>
      <w:r>
        <w:rPr>
          <w:rFonts w:hint="eastAsia"/>
          <w:color w:val="auto"/>
          <w:highlight w:val="none"/>
        </w:rPr>
        <w:t>装饰构件的装饰外观尺寸偏差和检验方法应符合设计要求；当设计无具体要求时，应符合本导则表8.5.7的规定。</w:t>
      </w:r>
    </w:p>
    <w:p>
      <w:pPr>
        <w:ind w:firstLine="440" w:firstLineChars="200"/>
        <w:rPr>
          <w:color w:val="auto"/>
          <w:highlight w:val="none"/>
        </w:rPr>
      </w:pPr>
      <w:r>
        <w:rPr>
          <w:rFonts w:hint="eastAsia"/>
          <w:color w:val="auto"/>
          <w:highlight w:val="none"/>
        </w:rPr>
        <w:t>检查数量：同一种类的模块单元每次抽检数量不应少于该品种数量的</w:t>
      </w:r>
      <w:r>
        <w:rPr>
          <w:color w:val="auto"/>
          <w:highlight w:val="none"/>
        </w:rPr>
        <w:t>3</w:t>
      </w:r>
      <w:r>
        <w:rPr>
          <w:rFonts w:hint="eastAsia"/>
          <w:color w:val="auto"/>
          <w:highlight w:val="none"/>
        </w:rPr>
        <w:t>%，且不少于</w:t>
      </w:r>
      <w:r>
        <w:rPr>
          <w:color w:val="auto"/>
          <w:highlight w:val="none"/>
        </w:rPr>
        <w:t>1</w:t>
      </w:r>
      <w:r>
        <w:rPr>
          <w:rFonts w:hint="eastAsia"/>
          <w:color w:val="auto"/>
          <w:highlight w:val="none"/>
        </w:rPr>
        <w:t>件。</w:t>
      </w:r>
    </w:p>
    <w:p>
      <w:pPr>
        <w:numPr>
          <w:ilvl w:val="0"/>
          <w:numId w:val="33"/>
        </w:numPr>
        <w:rPr>
          <w:color w:val="auto"/>
          <w:highlight w:val="none"/>
        </w:rPr>
      </w:pPr>
      <w:r>
        <w:rPr>
          <w:rFonts w:hint="eastAsia"/>
          <w:color w:val="auto"/>
          <w:highlight w:val="none"/>
        </w:rPr>
        <w:t>模块单元应在明显部位标明模块制造单位、项目名称、模块型号、制造日期、安装部位、安装方向及质量合格标志。</w:t>
      </w:r>
    </w:p>
    <w:p>
      <w:pPr>
        <w:ind w:firstLine="440" w:firstLineChars="200"/>
        <w:rPr>
          <w:color w:val="auto"/>
          <w:szCs w:val="24"/>
          <w:highlight w:val="none"/>
        </w:rPr>
      </w:pPr>
      <w:r>
        <w:rPr>
          <w:rFonts w:hint="eastAsia"/>
          <w:color w:val="auto"/>
          <w:szCs w:val="24"/>
          <w:highlight w:val="none"/>
        </w:rPr>
        <w:t>检查数量：全数检查。</w:t>
      </w:r>
    </w:p>
    <w:p>
      <w:pPr>
        <w:ind w:firstLine="440" w:firstLineChars="200"/>
        <w:rPr>
          <w:color w:val="auto"/>
          <w:szCs w:val="24"/>
          <w:highlight w:val="none"/>
        </w:rPr>
      </w:pPr>
      <w:r>
        <w:rPr>
          <w:rFonts w:hint="eastAsia"/>
          <w:color w:val="auto"/>
          <w:szCs w:val="24"/>
          <w:highlight w:val="none"/>
        </w:rPr>
        <w:t>检验方法：观察检查。</w:t>
      </w:r>
    </w:p>
    <w:p>
      <w:pPr>
        <w:pStyle w:val="4"/>
        <w:rPr>
          <w:color w:val="auto"/>
          <w:highlight w:val="none"/>
        </w:rPr>
      </w:pPr>
      <w:bookmarkStart w:id="1364" w:name="_Toc6335"/>
      <w:bookmarkStart w:id="1365" w:name="_Toc22283"/>
      <w:bookmarkStart w:id="1366" w:name="_Toc110958509"/>
      <w:bookmarkStart w:id="1367" w:name="_Toc4733"/>
      <w:bookmarkStart w:id="1368" w:name="_Toc25586"/>
      <w:bookmarkStart w:id="1369" w:name="_Toc13893"/>
      <w:bookmarkStart w:id="1370" w:name="_Toc9695"/>
      <w:bookmarkStart w:id="1371" w:name="_Toc5275"/>
      <w:bookmarkStart w:id="1372" w:name="_Toc21570"/>
      <w:bookmarkStart w:id="1373" w:name="_Toc14131"/>
      <w:bookmarkStart w:id="1374" w:name="_Toc27142"/>
      <w:bookmarkStart w:id="1375" w:name="_Toc24229"/>
      <w:bookmarkStart w:id="1376" w:name="_Toc22291"/>
      <w:bookmarkStart w:id="1377" w:name="_Toc32439"/>
      <w:bookmarkStart w:id="1378" w:name="_Toc26668"/>
      <w:bookmarkStart w:id="1379" w:name="_Toc10862"/>
      <w:bookmarkStart w:id="1380" w:name="_Toc7795"/>
      <w:bookmarkStart w:id="1381" w:name="_Toc2484"/>
      <w:bookmarkStart w:id="1382" w:name="_Toc21791"/>
      <w:bookmarkStart w:id="1383" w:name="_Toc17231"/>
      <w:bookmarkStart w:id="1384" w:name="_Toc14133"/>
      <w:bookmarkStart w:id="1385" w:name="_Toc21976"/>
      <w:bookmarkStart w:id="1386" w:name="_Toc16853"/>
      <w:bookmarkStart w:id="1387" w:name="_Toc14178"/>
      <w:bookmarkStart w:id="1388" w:name="_Toc19867"/>
      <w:bookmarkStart w:id="1389" w:name="_Toc6672"/>
      <w:bookmarkStart w:id="1390" w:name="_Toc28051"/>
      <w:bookmarkStart w:id="1391" w:name="_Toc9256"/>
      <w:bookmarkStart w:id="1392" w:name="_Toc29674"/>
      <w:bookmarkStart w:id="1393" w:name="_Toc26575"/>
      <w:bookmarkStart w:id="1394" w:name="_Toc16295"/>
      <w:bookmarkStart w:id="1395" w:name="_Toc1162"/>
      <w:bookmarkStart w:id="1396" w:name="_Toc22142"/>
      <w:bookmarkStart w:id="1397" w:name="_Toc22174"/>
      <w:bookmarkStart w:id="1398" w:name="_Toc110952741"/>
      <w:r>
        <w:rPr>
          <w:b/>
          <w:bCs w:val="0"/>
          <w:color w:val="auto"/>
          <w:highlight w:val="none"/>
        </w:rPr>
        <w:t>1</w:t>
      </w:r>
      <w:r>
        <w:rPr>
          <w:rFonts w:hint="eastAsia"/>
          <w:b/>
          <w:bCs w:val="0"/>
          <w:color w:val="auto"/>
          <w:highlight w:val="none"/>
        </w:rPr>
        <w:t>0</w:t>
      </w:r>
      <w:r>
        <w:rPr>
          <w:rFonts w:hint="eastAsia" w:ascii="宋体" w:hAnsi="宋体" w:eastAsia="宋体"/>
          <w:color w:val="auto"/>
          <w:szCs w:val="21"/>
          <w:highlight w:val="none"/>
        </w:rPr>
        <w:t>.</w:t>
      </w:r>
      <w:r>
        <w:rPr>
          <w:rFonts w:hint="eastAsia"/>
          <w:b/>
          <w:bCs w:val="0"/>
          <w:color w:val="auto"/>
          <w:highlight w:val="none"/>
        </w:rPr>
        <w:t>3</w:t>
      </w:r>
      <w:r>
        <w:rPr>
          <w:rFonts w:hint="eastAsia"/>
          <w:color w:val="auto"/>
          <w:highlight w:val="none"/>
        </w:rPr>
        <w:t xml:space="preserve">  模块单元安装与连接</w:t>
      </w:r>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p>
    <w:p>
      <w:pPr>
        <w:numPr>
          <w:ilvl w:val="0"/>
          <w:numId w:val="34"/>
        </w:numPr>
        <w:rPr>
          <w:color w:val="auto"/>
          <w:highlight w:val="none"/>
        </w:rPr>
      </w:pPr>
      <w:r>
        <w:rPr>
          <w:rFonts w:hint="eastAsia"/>
          <w:color w:val="auto"/>
          <w:highlight w:val="none"/>
        </w:rPr>
        <w:t>模块单元之间采用灌浆连接时，灌浆料或灌浆用混凝土的强度等级应符合设计要求。</w:t>
      </w:r>
    </w:p>
    <w:p>
      <w:pPr>
        <w:widowControl/>
        <w:ind w:firstLine="440" w:firstLineChars="200"/>
        <w:rPr>
          <w:color w:val="auto"/>
          <w:highlight w:val="none"/>
        </w:rPr>
      </w:pPr>
      <w:r>
        <w:rPr>
          <w:rFonts w:hint="eastAsia"/>
          <w:color w:val="auto"/>
          <w:highlight w:val="none"/>
        </w:rPr>
        <w:t>检查数量</w:t>
      </w:r>
      <w:r>
        <w:rPr>
          <w:rFonts w:hint="eastAsia"/>
          <w:color w:val="auto"/>
          <w:highlight w:val="none"/>
          <w:lang w:eastAsia="zh-CN"/>
        </w:rPr>
        <w:t>：</w:t>
      </w:r>
      <w:r>
        <w:rPr>
          <w:rFonts w:hint="eastAsia"/>
          <w:color w:val="auto"/>
          <w:highlight w:val="none"/>
        </w:rPr>
        <w:t>全数检查。</w:t>
      </w:r>
    </w:p>
    <w:p>
      <w:pPr>
        <w:widowControl/>
        <w:ind w:left="440"/>
        <w:rPr>
          <w:color w:val="auto"/>
          <w:highlight w:val="none"/>
        </w:rPr>
      </w:pPr>
      <w:r>
        <w:rPr>
          <w:rFonts w:hint="eastAsia"/>
          <w:color w:val="auto"/>
          <w:highlight w:val="none"/>
        </w:rPr>
        <w:t>检查方法</w:t>
      </w:r>
      <w:r>
        <w:rPr>
          <w:rFonts w:hint="eastAsia"/>
          <w:color w:val="auto"/>
          <w:highlight w:val="none"/>
          <w:lang w:eastAsia="zh-CN"/>
        </w:rPr>
        <w:t>：</w:t>
      </w:r>
      <w:r>
        <w:rPr>
          <w:rFonts w:hint="eastAsia"/>
          <w:color w:val="auto"/>
          <w:highlight w:val="none"/>
        </w:rPr>
        <w:t>检查试件强度试验报告。</w:t>
      </w:r>
    </w:p>
    <w:p>
      <w:pPr>
        <w:numPr>
          <w:ilvl w:val="0"/>
          <w:numId w:val="34"/>
        </w:numPr>
        <w:rPr>
          <w:color w:val="auto"/>
          <w:highlight w:val="none"/>
        </w:rPr>
      </w:pPr>
      <w:r>
        <w:rPr>
          <w:rFonts w:hint="eastAsia"/>
          <w:color w:val="auto"/>
          <w:highlight w:val="none"/>
        </w:rPr>
        <w:t>灌浆料或灌浆用混凝土的工作性能和收缩性应符合设计要求和相关国家现行标准的规定。</w:t>
      </w:r>
    </w:p>
    <w:p>
      <w:pPr>
        <w:widowControl/>
        <w:ind w:left="440"/>
        <w:rPr>
          <w:color w:val="auto"/>
          <w:highlight w:val="none"/>
        </w:rPr>
      </w:pPr>
      <w:r>
        <w:rPr>
          <w:rFonts w:hint="eastAsia"/>
          <w:color w:val="auto"/>
          <w:highlight w:val="none"/>
        </w:rPr>
        <w:t>检查数量</w:t>
      </w:r>
      <w:r>
        <w:rPr>
          <w:rFonts w:hint="eastAsia"/>
          <w:color w:val="auto"/>
          <w:highlight w:val="none"/>
          <w:lang w:eastAsia="zh-CN"/>
        </w:rPr>
        <w:t>：</w:t>
      </w:r>
      <w:r>
        <w:rPr>
          <w:rFonts w:hint="eastAsia"/>
          <w:color w:val="auto"/>
          <w:highlight w:val="none"/>
        </w:rPr>
        <w:t>全数检查。</w:t>
      </w:r>
    </w:p>
    <w:p>
      <w:pPr>
        <w:widowControl/>
        <w:ind w:left="440"/>
        <w:rPr>
          <w:color w:val="auto"/>
          <w:highlight w:val="none"/>
        </w:rPr>
      </w:pPr>
      <w:r>
        <w:rPr>
          <w:rFonts w:hint="eastAsia"/>
          <w:color w:val="auto"/>
          <w:highlight w:val="none"/>
        </w:rPr>
        <w:t>检查方法</w:t>
      </w:r>
      <w:r>
        <w:rPr>
          <w:rFonts w:hint="eastAsia"/>
          <w:color w:val="auto"/>
          <w:highlight w:val="none"/>
          <w:lang w:eastAsia="zh-CN"/>
        </w:rPr>
        <w:t>：</w:t>
      </w:r>
      <w:r>
        <w:rPr>
          <w:rFonts w:hint="eastAsia"/>
          <w:color w:val="auto"/>
          <w:highlight w:val="none"/>
        </w:rPr>
        <w:t>检查质量证明文件和抽样检验报告。</w:t>
      </w:r>
    </w:p>
    <w:p>
      <w:pPr>
        <w:numPr>
          <w:ilvl w:val="0"/>
          <w:numId w:val="34"/>
        </w:numPr>
        <w:rPr>
          <w:color w:val="auto"/>
          <w:highlight w:val="none"/>
        </w:rPr>
      </w:pPr>
      <w:r>
        <w:rPr>
          <w:rFonts w:hint="eastAsia"/>
          <w:color w:val="auto"/>
          <w:highlight w:val="none"/>
        </w:rPr>
        <w:t>灌浆用混凝土的运输、浇筑及间歇的全部时间不应超过混凝土的初凝时间，同一施工节点内混凝土应连续浇筑。</w:t>
      </w:r>
    </w:p>
    <w:p>
      <w:pPr>
        <w:ind w:left="440"/>
        <w:rPr>
          <w:color w:val="auto"/>
          <w:highlight w:val="none"/>
        </w:rPr>
      </w:pPr>
      <w:r>
        <w:rPr>
          <w:rFonts w:hint="eastAsia"/>
          <w:color w:val="auto"/>
          <w:highlight w:val="none"/>
        </w:rPr>
        <w:t>检查数量</w:t>
      </w:r>
      <w:r>
        <w:rPr>
          <w:rFonts w:hint="eastAsia"/>
          <w:color w:val="auto"/>
          <w:highlight w:val="none"/>
          <w:lang w:eastAsia="zh-CN"/>
        </w:rPr>
        <w:t>：</w:t>
      </w:r>
      <w:r>
        <w:rPr>
          <w:rFonts w:hint="eastAsia"/>
          <w:color w:val="auto"/>
          <w:highlight w:val="none"/>
        </w:rPr>
        <w:t>全数检查。</w:t>
      </w:r>
    </w:p>
    <w:p>
      <w:pPr>
        <w:ind w:left="440"/>
        <w:rPr>
          <w:color w:val="auto"/>
          <w:highlight w:val="none"/>
        </w:rPr>
      </w:pPr>
      <w:r>
        <w:rPr>
          <w:color w:val="auto"/>
          <w:highlight w:val="none"/>
        </w:rPr>
        <w:t>检查方法</w:t>
      </w:r>
      <w:r>
        <w:rPr>
          <w:rFonts w:hint="eastAsia"/>
          <w:color w:val="auto"/>
          <w:highlight w:val="none"/>
          <w:lang w:eastAsia="zh-CN"/>
        </w:rPr>
        <w:t>：</w:t>
      </w:r>
      <w:r>
        <w:rPr>
          <w:color w:val="auto"/>
          <w:highlight w:val="none"/>
        </w:rPr>
        <w:t>观察检查，检查施工记录。</w:t>
      </w:r>
    </w:p>
    <w:p>
      <w:pPr>
        <w:numPr>
          <w:ilvl w:val="0"/>
          <w:numId w:val="34"/>
        </w:numPr>
        <w:rPr>
          <w:color w:val="auto"/>
          <w:highlight w:val="none"/>
        </w:rPr>
      </w:pPr>
      <w:r>
        <w:rPr>
          <w:rFonts w:hint="eastAsia"/>
          <w:color w:val="auto"/>
          <w:highlight w:val="none"/>
        </w:rPr>
        <w:t>灌浆料或灌浆用混凝土浇筑应密实。</w:t>
      </w:r>
    </w:p>
    <w:p>
      <w:pPr>
        <w:widowControl/>
        <w:ind w:left="440"/>
        <w:rPr>
          <w:color w:val="auto"/>
          <w:highlight w:val="none"/>
        </w:rPr>
      </w:pPr>
      <w:r>
        <w:rPr>
          <w:color w:val="auto"/>
          <w:highlight w:val="none"/>
        </w:rPr>
        <w:t>检查数量</w:t>
      </w:r>
      <w:r>
        <w:rPr>
          <w:rFonts w:hint="eastAsia"/>
          <w:color w:val="auto"/>
          <w:highlight w:val="none"/>
          <w:lang w:eastAsia="zh-CN"/>
        </w:rPr>
        <w:t>：</w:t>
      </w:r>
      <w:r>
        <w:rPr>
          <w:color w:val="auto"/>
          <w:highlight w:val="none"/>
        </w:rPr>
        <w:t>全数检查。</w:t>
      </w:r>
    </w:p>
    <w:p>
      <w:pPr>
        <w:widowControl/>
        <w:ind w:left="440"/>
        <w:rPr>
          <w:rFonts w:hint="eastAsia" w:ascii="楷体" w:hAnsi="楷体" w:eastAsia="楷体" w:cs="楷体"/>
          <w:color w:val="auto"/>
          <w:highlight w:val="none"/>
        </w:rPr>
      </w:pPr>
      <w:r>
        <w:rPr>
          <w:rFonts w:hint="eastAsia"/>
          <w:color w:val="auto"/>
          <w:highlight w:val="none"/>
        </w:rPr>
        <w:t>检查方法</w:t>
      </w:r>
      <w:r>
        <w:rPr>
          <w:rFonts w:hint="eastAsia"/>
          <w:color w:val="auto"/>
          <w:highlight w:val="none"/>
          <w:lang w:eastAsia="zh-CN"/>
        </w:rPr>
        <w:t>：</w:t>
      </w:r>
      <w:r>
        <w:rPr>
          <w:rFonts w:hint="eastAsia"/>
          <w:color w:val="auto"/>
          <w:highlight w:val="none"/>
        </w:rPr>
        <w:t>检查灌浆工艺试验报告或混凝土浇筑工艺试验报告和施工记录。</w:t>
      </w:r>
    </w:p>
    <w:p>
      <w:pPr>
        <w:numPr>
          <w:ilvl w:val="0"/>
          <w:numId w:val="34"/>
        </w:numPr>
        <w:rPr>
          <w:color w:val="auto"/>
          <w:highlight w:val="none"/>
        </w:rPr>
      </w:pPr>
      <w:r>
        <w:rPr>
          <w:rFonts w:hint="eastAsia"/>
          <w:color w:val="auto"/>
          <w:highlight w:val="none"/>
        </w:rPr>
        <w:t>模块化全预制剪力墙结构、叠合剪力墙结构和箱模结构连接节点及叠合构件浇筑混凝土前，应进行隐蔽工程验收。隐蔽工程验收应包括下列主要内容：</w:t>
      </w:r>
    </w:p>
    <w:p>
      <w:pPr>
        <w:ind w:firstLine="440" w:firstLineChars="200"/>
        <w:rPr>
          <w:bCs/>
          <w:color w:val="auto"/>
          <w:highlight w:val="none"/>
        </w:rPr>
      </w:pPr>
      <w:bookmarkStart w:id="1399" w:name="_Toc5307"/>
      <w:bookmarkStart w:id="1400" w:name="_Toc29469"/>
      <w:r>
        <w:rPr>
          <w:rFonts w:hint="eastAsia"/>
          <w:b/>
          <w:bCs/>
          <w:color w:val="auto"/>
          <w:highlight w:val="none"/>
        </w:rPr>
        <w:t>1</w:t>
      </w:r>
      <w:r>
        <w:rPr>
          <w:b/>
          <w:bCs/>
          <w:color w:val="auto"/>
          <w:highlight w:val="none"/>
        </w:rPr>
        <w:t xml:space="preserve">  </w:t>
      </w:r>
      <w:r>
        <w:rPr>
          <w:rFonts w:hint="eastAsia"/>
          <w:bCs/>
          <w:color w:val="auto"/>
          <w:highlight w:val="none"/>
        </w:rPr>
        <w:t>混凝土粗糙面的质量；</w:t>
      </w:r>
      <w:bookmarkEnd w:id="1399"/>
      <w:bookmarkEnd w:id="1400"/>
    </w:p>
    <w:p>
      <w:pPr>
        <w:ind w:firstLine="440" w:firstLineChars="200"/>
        <w:rPr>
          <w:bCs/>
          <w:color w:val="auto"/>
          <w:highlight w:val="none"/>
        </w:rPr>
      </w:pPr>
      <w:r>
        <w:rPr>
          <w:rFonts w:hint="eastAsia"/>
          <w:b/>
          <w:bCs/>
          <w:color w:val="auto"/>
          <w:highlight w:val="none"/>
        </w:rPr>
        <w:t>2</w:t>
      </w:r>
      <w:r>
        <w:rPr>
          <w:b/>
          <w:bCs/>
          <w:color w:val="auto"/>
          <w:highlight w:val="none"/>
        </w:rPr>
        <w:t xml:space="preserve">  </w:t>
      </w:r>
      <w:r>
        <w:rPr>
          <w:rFonts w:hint="eastAsia"/>
          <w:bCs/>
          <w:color w:val="auto"/>
          <w:highlight w:val="none"/>
        </w:rPr>
        <w:t>钢筋的牌号、规格、数量、位置、间距，箍筋弯钩的弯折角度及平直段长度；</w:t>
      </w:r>
    </w:p>
    <w:p>
      <w:pPr>
        <w:ind w:firstLine="440" w:firstLineChars="200"/>
        <w:rPr>
          <w:bCs/>
          <w:color w:val="auto"/>
          <w:highlight w:val="none"/>
        </w:rPr>
      </w:pPr>
      <w:r>
        <w:rPr>
          <w:rFonts w:hint="eastAsia"/>
          <w:b/>
          <w:bCs/>
          <w:color w:val="auto"/>
          <w:highlight w:val="none"/>
        </w:rPr>
        <w:t>3</w:t>
      </w:r>
      <w:r>
        <w:rPr>
          <w:b/>
          <w:bCs/>
          <w:color w:val="auto"/>
          <w:highlight w:val="none"/>
        </w:rPr>
        <w:t xml:space="preserve">  </w:t>
      </w:r>
      <w:r>
        <w:rPr>
          <w:rFonts w:hint="eastAsia"/>
          <w:bCs/>
          <w:color w:val="auto"/>
          <w:highlight w:val="none"/>
        </w:rPr>
        <w:t>钢筋的连接方式、接头位置、接头数量、接头面积百分率、搭接长度、锚固方式及锚固长度；</w:t>
      </w:r>
    </w:p>
    <w:p>
      <w:pPr>
        <w:ind w:firstLine="440" w:firstLineChars="200"/>
        <w:rPr>
          <w:bCs/>
          <w:color w:val="auto"/>
          <w:highlight w:val="none"/>
        </w:rPr>
      </w:pPr>
      <w:r>
        <w:rPr>
          <w:rFonts w:hint="eastAsia"/>
          <w:b/>
          <w:bCs/>
          <w:color w:val="auto"/>
          <w:highlight w:val="none"/>
        </w:rPr>
        <w:t>4</w:t>
      </w:r>
      <w:r>
        <w:rPr>
          <w:b/>
          <w:bCs/>
          <w:color w:val="auto"/>
          <w:highlight w:val="none"/>
        </w:rPr>
        <w:t xml:space="preserve">  </w:t>
      </w:r>
      <w:r>
        <w:rPr>
          <w:rFonts w:hint="eastAsia"/>
          <w:bCs/>
          <w:color w:val="auto"/>
          <w:highlight w:val="none"/>
        </w:rPr>
        <w:t>预埋件、预留管线的规格、数量、位置；</w:t>
      </w:r>
    </w:p>
    <w:p>
      <w:pPr>
        <w:ind w:firstLine="440" w:firstLineChars="200"/>
        <w:rPr>
          <w:bCs/>
          <w:color w:val="auto"/>
          <w:highlight w:val="none"/>
        </w:rPr>
      </w:pPr>
      <w:r>
        <w:rPr>
          <w:b/>
          <w:bCs/>
          <w:color w:val="auto"/>
          <w:highlight w:val="none"/>
        </w:rPr>
        <w:t xml:space="preserve">5  </w:t>
      </w:r>
      <w:r>
        <w:rPr>
          <w:rFonts w:hint="eastAsia"/>
          <w:bCs/>
          <w:color w:val="auto"/>
          <w:highlight w:val="none"/>
        </w:rPr>
        <w:t>其他隐蔽项目。</w:t>
      </w:r>
    </w:p>
    <w:p>
      <w:pPr>
        <w:numPr>
          <w:ilvl w:val="0"/>
          <w:numId w:val="34"/>
        </w:numPr>
        <w:rPr>
          <w:color w:val="auto"/>
          <w:highlight w:val="none"/>
        </w:rPr>
      </w:pPr>
      <w:r>
        <w:rPr>
          <w:rFonts w:hint="eastAsia"/>
          <w:color w:val="auto"/>
          <w:highlight w:val="none"/>
        </w:rPr>
        <w:t>模块化全预制剪力墙结构、叠合剪力墙结构和箱模结构现浇部分的混凝土强度应按不同强度等级分别检验，检验方法宜采用同条件养护试件方法。</w:t>
      </w:r>
    </w:p>
    <w:p>
      <w:pPr>
        <w:numPr>
          <w:ilvl w:val="0"/>
          <w:numId w:val="34"/>
        </w:numPr>
        <w:rPr>
          <w:color w:val="auto"/>
          <w:highlight w:val="none"/>
        </w:rPr>
      </w:pPr>
      <w:r>
        <w:rPr>
          <w:rFonts w:hint="eastAsia"/>
          <w:color w:val="auto"/>
          <w:highlight w:val="none"/>
        </w:rPr>
        <w:t>模块化全预制剪力墙结构、叠合剪力墙结构和箱模结构现浇部分的外观质量、位置偏差、尺寸偏差验收应符合现行国家标准《混凝土结构工程施工质量验收规范》GB 50204和上海市地方标准《装配整体式叠合剪力墙结构技术规程》DG/TJ 08-2266的有关规定。</w:t>
      </w:r>
    </w:p>
    <w:p>
      <w:pPr>
        <w:numPr>
          <w:ilvl w:val="0"/>
          <w:numId w:val="34"/>
        </w:numPr>
        <w:rPr>
          <w:color w:val="auto"/>
          <w:highlight w:val="none"/>
        </w:rPr>
      </w:pPr>
      <w:r>
        <w:rPr>
          <w:rFonts w:hint="eastAsia"/>
          <w:color w:val="auto"/>
          <w:highlight w:val="none"/>
        </w:rPr>
        <w:t>当箱模结构使用梁模、墙模或柱模作为模板进行浇筑时，混凝土应浇筑密实，出现空鼓时，应打开模壳进行修补、处理：</w:t>
      </w:r>
    </w:p>
    <w:p>
      <w:pPr>
        <w:ind w:firstLine="440" w:firstLineChars="200"/>
        <w:rPr>
          <w:color w:val="auto"/>
          <w:highlight w:val="none"/>
        </w:rPr>
      </w:pPr>
      <w:r>
        <w:rPr>
          <w:rFonts w:hint="eastAsia"/>
          <w:color w:val="auto"/>
          <w:highlight w:val="none"/>
        </w:rPr>
        <w:t>检查数量：按楼层、结构缝或施工段划分检验批，应按有代表性的墙</w:t>
      </w:r>
      <w:r>
        <w:rPr>
          <w:rFonts w:hint="eastAsia"/>
          <w:color w:val="auto"/>
          <w:highlight w:val="none"/>
          <w:lang w:eastAsia="zh-CN"/>
        </w:rPr>
        <w:t>体检</w:t>
      </w:r>
      <w:r>
        <w:rPr>
          <w:rFonts w:hint="eastAsia"/>
          <w:color w:val="auto"/>
          <w:highlight w:val="none"/>
        </w:rPr>
        <w:t>查10%，且不应少于3个，每个墙体选择上部、中部、下部合计不少于3点敲击。</w:t>
      </w:r>
    </w:p>
    <w:p>
      <w:pPr>
        <w:ind w:firstLine="440" w:firstLineChars="200"/>
        <w:rPr>
          <w:color w:val="auto"/>
          <w:highlight w:val="none"/>
        </w:rPr>
      </w:pPr>
      <w:r>
        <w:rPr>
          <w:rFonts w:hint="eastAsia"/>
          <w:color w:val="auto"/>
          <w:highlight w:val="none"/>
        </w:rPr>
        <w:t>检验方法：小锤敲击，检查处理记录。</w:t>
      </w:r>
    </w:p>
    <w:p>
      <w:pPr>
        <w:numPr>
          <w:ilvl w:val="0"/>
          <w:numId w:val="34"/>
        </w:numPr>
        <w:rPr>
          <w:color w:val="auto"/>
          <w:highlight w:val="none"/>
        </w:rPr>
      </w:pPr>
      <w:r>
        <w:rPr>
          <w:rFonts w:hint="eastAsia"/>
          <w:color w:val="auto"/>
          <w:highlight w:val="none"/>
        </w:rPr>
        <w:t>模块化全预制剪力墙结构、叠合剪力墙结构和箱模结构现浇部分的钢筋保护层厚度检验应符合下列规定：</w:t>
      </w:r>
    </w:p>
    <w:p>
      <w:pPr>
        <w:ind w:firstLine="440" w:firstLineChars="200"/>
        <w:rPr>
          <w:bCs/>
          <w:color w:val="auto"/>
          <w:highlight w:val="none"/>
        </w:rPr>
      </w:pPr>
      <w:r>
        <w:rPr>
          <w:rFonts w:hint="eastAsia"/>
          <w:b/>
          <w:bCs/>
          <w:color w:val="auto"/>
          <w:highlight w:val="none"/>
        </w:rPr>
        <w:t>1</w:t>
      </w:r>
      <w:r>
        <w:rPr>
          <w:bCs/>
          <w:color w:val="auto"/>
          <w:highlight w:val="none"/>
        </w:rPr>
        <w:t xml:space="preserve">  </w:t>
      </w:r>
      <w:r>
        <w:rPr>
          <w:rFonts w:hint="eastAsia"/>
          <w:color w:val="auto"/>
          <w:highlight w:val="none"/>
        </w:rPr>
        <w:t>箱模</w:t>
      </w:r>
      <w:r>
        <w:rPr>
          <w:rFonts w:hint="eastAsia"/>
          <w:bCs/>
          <w:color w:val="auto"/>
          <w:highlight w:val="none"/>
        </w:rPr>
        <w:t>结构中的梁、剪力墙和柱等构件使用梁模、墙模或柱模作为模板进行浇筑时，可不检验钢筋保护层厚度；</w:t>
      </w:r>
    </w:p>
    <w:p>
      <w:pPr>
        <w:ind w:firstLine="440" w:firstLineChars="200"/>
        <w:rPr>
          <w:bCs/>
          <w:color w:val="auto"/>
          <w:highlight w:val="none"/>
        </w:rPr>
      </w:pPr>
      <w:r>
        <w:rPr>
          <w:rFonts w:hint="eastAsia"/>
          <w:b/>
          <w:bCs/>
          <w:color w:val="auto"/>
          <w:highlight w:val="none"/>
        </w:rPr>
        <w:t>2</w:t>
      </w:r>
      <w:r>
        <w:rPr>
          <w:bCs/>
          <w:color w:val="auto"/>
          <w:highlight w:val="none"/>
        </w:rPr>
        <w:t xml:space="preserve">  </w:t>
      </w:r>
      <w:r>
        <w:rPr>
          <w:rFonts w:hint="eastAsia"/>
          <w:color w:val="auto"/>
          <w:highlight w:val="none"/>
        </w:rPr>
        <w:t>箱模</w:t>
      </w:r>
      <w:r>
        <w:rPr>
          <w:rFonts w:hint="eastAsia"/>
          <w:bCs/>
          <w:color w:val="auto"/>
          <w:highlight w:val="none"/>
        </w:rPr>
        <w:t>结构中的梁、剪力墙和柱等构件使用其他模板进行浇筑时，其钢筋保护层厚度检验应符合《混凝土结构工程施工质量验收规范》G</w:t>
      </w:r>
      <w:r>
        <w:rPr>
          <w:bCs/>
          <w:color w:val="auto"/>
          <w:highlight w:val="none"/>
        </w:rPr>
        <w:t>B 50204</w:t>
      </w:r>
      <w:r>
        <w:rPr>
          <w:rFonts w:hint="eastAsia"/>
          <w:bCs/>
          <w:color w:val="auto"/>
          <w:highlight w:val="none"/>
        </w:rPr>
        <w:t>中的有关规定。</w:t>
      </w:r>
    </w:p>
    <w:p>
      <w:pPr>
        <w:numPr>
          <w:ilvl w:val="0"/>
          <w:numId w:val="34"/>
        </w:numPr>
        <w:rPr>
          <w:color w:val="auto"/>
          <w:highlight w:val="none"/>
        </w:rPr>
      </w:pPr>
      <w:r>
        <w:rPr>
          <w:rFonts w:hint="eastAsia"/>
          <w:color w:val="auto"/>
          <w:highlight w:val="none"/>
        </w:rPr>
        <w:t>外墙板接缝的防水性能应符合设计要求。</w:t>
      </w:r>
    </w:p>
    <w:p>
      <w:pPr>
        <w:ind w:firstLine="440" w:firstLineChars="200"/>
        <w:rPr>
          <w:color w:val="auto"/>
          <w:highlight w:val="none"/>
        </w:rPr>
      </w:pPr>
      <w:r>
        <w:rPr>
          <w:rFonts w:hint="eastAsia"/>
          <w:color w:val="auto"/>
          <w:highlight w:val="none"/>
        </w:rPr>
        <w:t>检验数量：按批检验。每1000m</w:t>
      </w:r>
      <w:r>
        <w:rPr>
          <w:rFonts w:hint="eastAsia"/>
          <w:color w:val="auto"/>
          <w:highlight w:val="none"/>
          <w:vertAlign w:val="superscript"/>
        </w:rPr>
        <w:t>2</w:t>
      </w:r>
      <w:r>
        <w:rPr>
          <w:rFonts w:hint="eastAsia"/>
          <w:color w:val="auto"/>
          <w:highlight w:val="none"/>
        </w:rPr>
        <w:t>外墙（含窗）面积应划分为一个检验批，不足1000m</w:t>
      </w:r>
      <w:r>
        <w:rPr>
          <w:rFonts w:hint="eastAsia"/>
          <w:color w:val="auto"/>
          <w:highlight w:val="none"/>
          <w:vertAlign w:val="superscript"/>
        </w:rPr>
        <w:t>2</w:t>
      </w:r>
      <w:r>
        <w:rPr>
          <w:rFonts w:hint="eastAsia"/>
          <w:color w:val="auto"/>
          <w:highlight w:val="none"/>
        </w:rPr>
        <w:t>时也应划分为一个检验批；每个检验批应至少抽查一处，抽查部位应为相邻两层4个模块形成的水平和十字缝区域，面积不得少于10m</w:t>
      </w:r>
      <w:r>
        <w:rPr>
          <w:rFonts w:hint="eastAsia"/>
          <w:color w:val="auto"/>
          <w:highlight w:val="none"/>
          <w:vertAlign w:val="superscript"/>
        </w:rPr>
        <w:t>2</w:t>
      </w:r>
      <w:r>
        <w:rPr>
          <w:rFonts w:hint="eastAsia"/>
          <w:color w:val="auto"/>
          <w:highlight w:val="none"/>
        </w:rPr>
        <w:t>。</w:t>
      </w:r>
    </w:p>
    <w:p>
      <w:pPr>
        <w:ind w:firstLine="440" w:firstLineChars="200"/>
        <w:rPr>
          <w:color w:val="auto"/>
          <w:highlight w:val="none"/>
        </w:rPr>
      </w:pPr>
      <w:r>
        <w:rPr>
          <w:rFonts w:hint="eastAsia"/>
          <w:color w:val="auto"/>
          <w:highlight w:val="none"/>
        </w:rPr>
        <w:t>检验方法：检查现场淋水试验报告。</w:t>
      </w:r>
    </w:p>
    <w:p>
      <w:pPr>
        <w:pStyle w:val="4"/>
        <w:rPr>
          <w:color w:val="auto"/>
          <w:highlight w:val="none"/>
        </w:rPr>
      </w:pPr>
      <w:bookmarkStart w:id="1401" w:name="_Toc30945"/>
      <w:bookmarkStart w:id="1402" w:name="_Toc11390"/>
      <w:bookmarkStart w:id="1403" w:name="_Toc20304"/>
      <w:bookmarkStart w:id="1404" w:name="_Toc19999"/>
      <w:bookmarkStart w:id="1405" w:name="_Toc1716"/>
      <w:bookmarkStart w:id="1406" w:name="_Toc1266"/>
      <w:bookmarkStart w:id="1407" w:name="_Toc18823"/>
      <w:bookmarkStart w:id="1408" w:name="_Toc19848"/>
      <w:bookmarkStart w:id="1409" w:name="_Toc25314"/>
      <w:bookmarkStart w:id="1410" w:name="_Toc25269"/>
      <w:bookmarkStart w:id="1411" w:name="_Toc32654"/>
      <w:bookmarkStart w:id="1412" w:name="_Toc31139"/>
      <w:bookmarkStart w:id="1413" w:name="_Toc14798"/>
      <w:bookmarkStart w:id="1414" w:name="_Toc15919"/>
      <w:bookmarkStart w:id="1415" w:name="_Toc852"/>
      <w:bookmarkStart w:id="1416" w:name="_Toc12949"/>
      <w:bookmarkStart w:id="1417" w:name="_Toc395"/>
      <w:bookmarkStart w:id="1418" w:name="_Toc29199"/>
      <w:bookmarkStart w:id="1419" w:name="_Toc25114"/>
      <w:bookmarkStart w:id="1420" w:name="_Toc4275"/>
      <w:bookmarkStart w:id="1421" w:name="_Toc32591"/>
      <w:bookmarkStart w:id="1422" w:name="_Toc22015"/>
      <w:bookmarkStart w:id="1423" w:name="_Toc12900"/>
      <w:bookmarkStart w:id="1424" w:name="_Toc8184"/>
      <w:bookmarkStart w:id="1425" w:name="_Toc24360"/>
      <w:bookmarkStart w:id="1426" w:name="_Toc31938"/>
      <w:bookmarkStart w:id="1427" w:name="_Toc12966"/>
      <w:bookmarkStart w:id="1428" w:name="_Toc10722"/>
      <w:bookmarkStart w:id="1429" w:name="_Toc16608"/>
      <w:bookmarkStart w:id="1430" w:name="_Toc10924"/>
      <w:bookmarkStart w:id="1431" w:name="_Toc802"/>
      <w:bookmarkStart w:id="1432" w:name="_Toc4406"/>
      <w:bookmarkStart w:id="1433" w:name="_Toc17902"/>
      <w:r>
        <w:rPr>
          <w:b/>
          <w:bCs w:val="0"/>
          <w:color w:val="auto"/>
          <w:highlight w:val="none"/>
        </w:rPr>
        <w:t>1</w:t>
      </w:r>
      <w:r>
        <w:rPr>
          <w:rFonts w:hint="eastAsia"/>
          <w:b/>
          <w:bCs w:val="0"/>
          <w:color w:val="auto"/>
          <w:highlight w:val="none"/>
        </w:rPr>
        <w:t>0</w:t>
      </w:r>
      <w:r>
        <w:rPr>
          <w:rFonts w:hint="eastAsia" w:ascii="宋体" w:hAnsi="宋体" w:eastAsia="宋体"/>
          <w:color w:val="auto"/>
          <w:szCs w:val="21"/>
          <w:highlight w:val="none"/>
        </w:rPr>
        <w:t>.</w:t>
      </w:r>
      <w:r>
        <w:rPr>
          <w:rFonts w:hint="eastAsia"/>
          <w:b/>
          <w:bCs w:val="0"/>
          <w:color w:val="auto"/>
          <w:highlight w:val="none"/>
        </w:rPr>
        <w:t>4</w:t>
      </w:r>
      <w:r>
        <w:rPr>
          <w:rFonts w:hint="eastAsia"/>
          <w:color w:val="auto"/>
          <w:highlight w:val="none"/>
        </w:rPr>
        <w:t xml:space="preserve">  设备管线安装</w:t>
      </w:r>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p>
    <w:p>
      <w:pPr>
        <w:numPr>
          <w:ilvl w:val="0"/>
          <w:numId w:val="35"/>
        </w:numPr>
        <w:rPr>
          <w:color w:val="auto"/>
          <w:highlight w:val="none"/>
        </w:rPr>
      </w:pPr>
      <w:r>
        <w:rPr>
          <w:b/>
          <w:bCs/>
          <w:color w:val="auto"/>
          <w:highlight w:val="none"/>
        </w:rPr>
        <w:t xml:space="preserve"> </w:t>
      </w:r>
      <w:r>
        <w:rPr>
          <w:rFonts w:hint="eastAsia"/>
          <w:color w:val="auto"/>
          <w:highlight w:val="none"/>
        </w:rPr>
        <w:t>混凝土模块化建筑给水、排水管线系统现场连接工程施工质量验收，除应符合现行国家标准《建筑给水排水及采暖工程施工质量验收规范》GB 50242的有关规定外，还应符合下列规定：</w:t>
      </w:r>
    </w:p>
    <w:p>
      <w:pPr>
        <w:ind w:firstLine="440" w:firstLineChars="200"/>
        <w:rPr>
          <w:color w:val="auto"/>
          <w:highlight w:val="none"/>
        </w:rPr>
      </w:pPr>
      <w:r>
        <w:rPr>
          <w:rFonts w:hint="eastAsia"/>
          <w:b/>
          <w:bCs/>
          <w:color w:val="auto"/>
          <w:highlight w:val="none"/>
        </w:rPr>
        <w:t>1</w:t>
      </w:r>
      <w:r>
        <w:rPr>
          <w:rFonts w:hint="eastAsia"/>
          <w:color w:val="auto"/>
          <w:highlight w:val="none"/>
        </w:rPr>
        <w:t xml:space="preserve">  给水管道和密闭水箱（罐）应做水压试验；</w:t>
      </w:r>
    </w:p>
    <w:p>
      <w:pPr>
        <w:ind w:firstLine="440" w:firstLineChars="200"/>
        <w:rPr>
          <w:color w:val="auto"/>
          <w:highlight w:val="none"/>
        </w:rPr>
      </w:pPr>
      <w:r>
        <w:rPr>
          <w:rFonts w:hint="eastAsia"/>
          <w:b/>
          <w:bCs/>
          <w:color w:val="auto"/>
          <w:highlight w:val="none"/>
        </w:rPr>
        <w:t xml:space="preserve">2 </w:t>
      </w:r>
      <w:r>
        <w:rPr>
          <w:rFonts w:hint="eastAsia"/>
          <w:color w:val="auto"/>
          <w:highlight w:val="none"/>
        </w:rPr>
        <w:t xml:space="preserve"> 阀门应进行强度和严密性试验；</w:t>
      </w:r>
    </w:p>
    <w:p>
      <w:pPr>
        <w:ind w:firstLine="440" w:firstLineChars="200"/>
        <w:rPr>
          <w:color w:val="auto"/>
          <w:highlight w:val="none"/>
        </w:rPr>
      </w:pPr>
      <w:r>
        <w:rPr>
          <w:rFonts w:hint="eastAsia"/>
          <w:b/>
          <w:bCs/>
          <w:color w:val="auto"/>
          <w:highlight w:val="none"/>
        </w:rPr>
        <w:t>3</w:t>
      </w:r>
      <w:r>
        <w:rPr>
          <w:rFonts w:hint="eastAsia"/>
          <w:color w:val="auto"/>
          <w:highlight w:val="none"/>
        </w:rPr>
        <w:t xml:space="preserve">  敞口水箱应进行满水试验；</w:t>
      </w:r>
    </w:p>
    <w:p>
      <w:pPr>
        <w:ind w:firstLine="440" w:firstLineChars="200"/>
        <w:rPr>
          <w:color w:val="auto"/>
          <w:highlight w:val="none"/>
        </w:rPr>
      </w:pPr>
      <w:r>
        <w:rPr>
          <w:rFonts w:hint="eastAsia"/>
          <w:b/>
          <w:bCs/>
          <w:color w:val="auto"/>
          <w:highlight w:val="none"/>
        </w:rPr>
        <w:t>4</w:t>
      </w:r>
      <w:r>
        <w:rPr>
          <w:rFonts w:hint="eastAsia"/>
          <w:color w:val="auto"/>
          <w:highlight w:val="none"/>
        </w:rPr>
        <w:t xml:space="preserve">  隐蔽或埋地的排水管道在隐蔽前应做灌水试验；</w:t>
      </w:r>
    </w:p>
    <w:p>
      <w:pPr>
        <w:ind w:firstLine="440" w:firstLineChars="200"/>
        <w:rPr>
          <w:color w:val="auto"/>
          <w:highlight w:val="none"/>
        </w:rPr>
      </w:pPr>
      <w:r>
        <w:rPr>
          <w:rFonts w:hint="eastAsia"/>
          <w:b/>
          <w:bCs/>
          <w:color w:val="auto"/>
          <w:highlight w:val="none"/>
        </w:rPr>
        <w:t>5</w:t>
      </w:r>
      <w:r>
        <w:rPr>
          <w:rFonts w:hint="eastAsia"/>
          <w:color w:val="auto"/>
          <w:highlight w:val="none"/>
        </w:rPr>
        <w:t xml:space="preserve">  室内的雨水管道安装后应做灌水试验；</w:t>
      </w:r>
    </w:p>
    <w:p>
      <w:pPr>
        <w:ind w:firstLine="440" w:firstLineChars="200"/>
        <w:rPr>
          <w:color w:val="auto"/>
          <w:highlight w:val="none"/>
        </w:rPr>
      </w:pPr>
      <w:r>
        <w:rPr>
          <w:rFonts w:hint="eastAsia"/>
          <w:b/>
          <w:bCs/>
          <w:color w:val="auto"/>
          <w:highlight w:val="none"/>
        </w:rPr>
        <w:t xml:space="preserve">6 </w:t>
      </w:r>
      <w:r>
        <w:rPr>
          <w:rFonts w:hint="eastAsia"/>
          <w:color w:val="auto"/>
          <w:highlight w:val="none"/>
        </w:rPr>
        <w:t xml:space="preserve"> 排水主立管及水平干管管道均应做通球试验；</w:t>
      </w:r>
    </w:p>
    <w:p>
      <w:pPr>
        <w:ind w:firstLine="440" w:firstLineChars="200"/>
        <w:rPr>
          <w:color w:val="auto"/>
          <w:highlight w:val="none"/>
        </w:rPr>
      </w:pPr>
      <w:r>
        <w:rPr>
          <w:rFonts w:hint="eastAsia"/>
          <w:b/>
          <w:bCs/>
          <w:color w:val="auto"/>
          <w:highlight w:val="none"/>
        </w:rPr>
        <w:t>7</w:t>
      </w:r>
      <w:r>
        <w:rPr>
          <w:rFonts w:hint="eastAsia"/>
          <w:color w:val="auto"/>
          <w:highlight w:val="none"/>
        </w:rPr>
        <w:t xml:space="preserve">  卫生器具交工前应做满水和通水试验。</w:t>
      </w:r>
    </w:p>
    <w:p>
      <w:pPr>
        <w:ind w:firstLine="440" w:firstLineChars="200"/>
        <w:rPr>
          <w:color w:val="auto"/>
          <w:highlight w:val="none"/>
        </w:rPr>
      </w:pPr>
      <w:r>
        <w:rPr>
          <w:rFonts w:hint="eastAsia"/>
          <w:color w:val="auto"/>
          <w:highlight w:val="none"/>
        </w:rPr>
        <w:t>检查数量：全数检查。</w:t>
      </w:r>
    </w:p>
    <w:p>
      <w:pPr>
        <w:ind w:firstLine="440" w:firstLineChars="200"/>
        <w:rPr>
          <w:color w:val="auto"/>
          <w:highlight w:val="none"/>
        </w:rPr>
      </w:pPr>
      <w:r>
        <w:rPr>
          <w:rFonts w:hint="eastAsia"/>
          <w:color w:val="auto"/>
          <w:highlight w:val="none"/>
        </w:rPr>
        <w:t>检查方法：检查各项水压试验记录、系统试压记录、满水试验记录、通球试验记录、通水试验记录等。</w:t>
      </w:r>
    </w:p>
    <w:p>
      <w:pPr>
        <w:numPr>
          <w:ilvl w:val="0"/>
          <w:numId w:val="35"/>
        </w:numPr>
        <w:rPr>
          <w:color w:val="auto"/>
          <w:highlight w:val="none"/>
        </w:rPr>
      </w:pPr>
      <w:r>
        <w:rPr>
          <w:rFonts w:hint="eastAsia"/>
          <w:color w:val="auto"/>
          <w:highlight w:val="none"/>
        </w:rPr>
        <w:t>模块化建筑通风工程现场管线连接的施工质量验收应符合现行国家标准《通风与空调工程施工质量验收规范》GB</w:t>
      </w:r>
      <w:r>
        <w:rPr>
          <w:color w:val="auto"/>
          <w:highlight w:val="none"/>
        </w:rPr>
        <w:t xml:space="preserve"> </w:t>
      </w:r>
      <w:r>
        <w:rPr>
          <w:rFonts w:hint="eastAsia"/>
          <w:color w:val="auto"/>
          <w:highlight w:val="none"/>
        </w:rPr>
        <w:t>50243的有关规定。风管、空调管道在不同模块单元之间或与非模块单元部分内管道连接时，应连接严密，接口不应设置在墙体内。</w:t>
      </w:r>
    </w:p>
    <w:p>
      <w:pPr>
        <w:ind w:firstLine="440" w:firstLineChars="200"/>
        <w:rPr>
          <w:color w:val="auto"/>
          <w:highlight w:val="none"/>
        </w:rPr>
      </w:pPr>
      <w:r>
        <w:rPr>
          <w:rFonts w:hint="eastAsia"/>
          <w:color w:val="auto"/>
          <w:highlight w:val="none"/>
        </w:rPr>
        <w:t>检查数量：全数检查。</w:t>
      </w:r>
    </w:p>
    <w:p>
      <w:pPr>
        <w:ind w:firstLine="440" w:firstLineChars="200"/>
        <w:rPr>
          <w:color w:val="auto"/>
          <w:highlight w:val="none"/>
        </w:rPr>
      </w:pPr>
      <w:r>
        <w:rPr>
          <w:rFonts w:hint="eastAsia"/>
          <w:color w:val="auto"/>
          <w:highlight w:val="none"/>
        </w:rPr>
        <w:t>检查方法：观察检查。</w:t>
      </w:r>
    </w:p>
    <w:p>
      <w:pPr>
        <w:numPr>
          <w:ilvl w:val="0"/>
          <w:numId w:val="35"/>
        </w:numPr>
        <w:rPr>
          <w:color w:val="auto"/>
          <w:highlight w:val="none"/>
        </w:rPr>
      </w:pPr>
      <w:r>
        <w:rPr>
          <w:rFonts w:hint="eastAsia"/>
          <w:color w:val="auto"/>
          <w:highlight w:val="none"/>
        </w:rPr>
        <w:t>模块化建筑电气工程的施工质量验收除应符合现行国家标准《建筑电气工程施工质量验收规范》GB 50303的有关规定外，还应符合下列规定：</w:t>
      </w:r>
    </w:p>
    <w:p>
      <w:pPr>
        <w:ind w:firstLine="440" w:firstLineChars="200"/>
        <w:rPr>
          <w:color w:val="auto"/>
          <w:highlight w:val="none"/>
        </w:rPr>
      </w:pPr>
      <w:r>
        <w:rPr>
          <w:b/>
          <w:bCs/>
          <w:color w:val="auto"/>
          <w:highlight w:val="none"/>
        </w:rPr>
        <w:t>1</w:t>
      </w:r>
      <w:r>
        <w:rPr>
          <w:rFonts w:hint="eastAsia"/>
          <w:b/>
          <w:bCs/>
          <w:color w:val="auto"/>
          <w:highlight w:val="none"/>
        </w:rPr>
        <w:t xml:space="preserve">  </w:t>
      </w:r>
      <w:r>
        <w:rPr>
          <w:rFonts w:hint="eastAsia"/>
          <w:color w:val="auto"/>
          <w:highlight w:val="none"/>
        </w:rPr>
        <w:t>电气系统应做电气设备交接试验，接地电阻、绝缘电阻测试，空载试运行和负荷试运行，建筑照明通电试运行等试验，试验要求应符合现行国家标准《建筑电气工程施工质量验收规范》GB 50303的有关规定。</w:t>
      </w:r>
    </w:p>
    <w:p>
      <w:pPr>
        <w:ind w:firstLine="440" w:firstLineChars="200"/>
        <w:rPr>
          <w:color w:val="auto"/>
          <w:highlight w:val="none"/>
        </w:rPr>
      </w:pPr>
      <w:r>
        <w:rPr>
          <w:rFonts w:hint="eastAsia"/>
          <w:color w:val="auto"/>
          <w:highlight w:val="none"/>
        </w:rPr>
        <w:t>检查数量：全数检查。</w:t>
      </w:r>
    </w:p>
    <w:p>
      <w:pPr>
        <w:ind w:firstLine="440" w:firstLineChars="200"/>
        <w:rPr>
          <w:color w:val="auto"/>
          <w:highlight w:val="none"/>
        </w:rPr>
      </w:pPr>
      <w:r>
        <w:rPr>
          <w:rFonts w:hint="eastAsia"/>
          <w:color w:val="auto"/>
          <w:highlight w:val="none"/>
        </w:rPr>
        <w:t>检查方法：检查各项试验记录。</w:t>
      </w:r>
    </w:p>
    <w:p>
      <w:pPr>
        <w:ind w:firstLine="440" w:firstLineChars="200"/>
        <w:rPr>
          <w:color w:val="auto"/>
          <w:highlight w:val="none"/>
        </w:rPr>
      </w:pPr>
      <w:r>
        <w:rPr>
          <w:b/>
          <w:bCs/>
          <w:color w:val="auto"/>
          <w:highlight w:val="none"/>
        </w:rPr>
        <w:t>2</w:t>
      </w:r>
      <w:r>
        <w:rPr>
          <w:rFonts w:hint="eastAsia"/>
          <w:b/>
          <w:bCs/>
          <w:color w:val="auto"/>
          <w:highlight w:val="none"/>
        </w:rPr>
        <w:t xml:space="preserve">  </w:t>
      </w:r>
      <w:r>
        <w:rPr>
          <w:rFonts w:hint="eastAsia"/>
          <w:color w:val="auto"/>
          <w:highlight w:val="none"/>
        </w:rPr>
        <w:t>当模块单元间有水平管线穿越时，穿墙套管或电气导管应与两端模块单元内电气导管可靠连接，金属导管应设置接地卡固定跨接接地线；当模块单元与非模块单元部分间有水平管线穿越时，应确保在相应位置设置预留洞口，供入户管线或线槽穿入。</w:t>
      </w:r>
    </w:p>
    <w:p>
      <w:pPr>
        <w:ind w:firstLine="440" w:firstLineChars="200"/>
        <w:rPr>
          <w:color w:val="auto"/>
          <w:highlight w:val="none"/>
        </w:rPr>
      </w:pPr>
      <w:r>
        <w:rPr>
          <w:rFonts w:hint="eastAsia"/>
          <w:color w:val="auto"/>
          <w:highlight w:val="none"/>
        </w:rPr>
        <w:t>检查数量：全数检查。</w:t>
      </w:r>
    </w:p>
    <w:p>
      <w:pPr>
        <w:tabs>
          <w:tab w:val="left" w:pos="0"/>
        </w:tabs>
        <w:ind w:firstLine="440" w:firstLineChars="200"/>
        <w:rPr>
          <w:color w:val="auto"/>
          <w:highlight w:val="none"/>
        </w:rPr>
      </w:pPr>
      <w:r>
        <w:rPr>
          <w:rFonts w:hint="eastAsia"/>
          <w:color w:val="auto"/>
          <w:highlight w:val="none"/>
        </w:rPr>
        <w:t>检查方法：观察检查和检查预留洞口。</w:t>
      </w:r>
    </w:p>
    <w:p>
      <w:pPr>
        <w:numPr>
          <w:ilvl w:val="0"/>
          <w:numId w:val="35"/>
        </w:numPr>
        <w:rPr>
          <w:color w:val="auto"/>
          <w:highlight w:val="none"/>
        </w:rPr>
      </w:pPr>
      <w:r>
        <w:rPr>
          <w:rFonts w:hint="eastAsia"/>
          <w:color w:val="auto"/>
          <w:highlight w:val="none"/>
        </w:rPr>
        <w:t>穿墙套管与管道之间缝隙，在管道全部连接安装完成且进行系统试压、冲洗后，应采用难燃或不燃材料填实。</w:t>
      </w:r>
    </w:p>
    <w:p>
      <w:pPr>
        <w:ind w:firstLine="440" w:firstLineChars="200"/>
        <w:rPr>
          <w:color w:val="auto"/>
          <w:highlight w:val="none"/>
        </w:rPr>
      </w:pPr>
      <w:r>
        <w:rPr>
          <w:rFonts w:hint="eastAsia"/>
          <w:color w:val="auto"/>
          <w:highlight w:val="none"/>
        </w:rPr>
        <w:t>检查数量：全数检查。</w:t>
      </w:r>
    </w:p>
    <w:p>
      <w:pPr>
        <w:ind w:firstLine="440" w:firstLineChars="200"/>
        <w:rPr>
          <w:color w:val="auto"/>
          <w:highlight w:val="none"/>
        </w:rPr>
      </w:pPr>
      <w:r>
        <w:rPr>
          <w:rFonts w:hint="eastAsia"/>
          <w:color w:val="auto"/>
          <w:highlight w:val="none"/>
        </w:rPr>
        <w:t>检查方法：观察，并检查系统试压记录。</w:t>
      </w:r>
    </w:p>
    <w:p>
      <w:pPr>
        <w:numPr>
          <w:ilvl w:val="0"/>
          <w:numId w:val="35"/>
        </w:numPr>
        <w:rPr>
          <w:color w:val="auto"/>
          <w:highlight w:val="none"/>
        </w:rPr>
      </w:pPr>
      <w:r>
        <w:rPr>
          <w:rFonts w:hint="eastAsia"/>
          <w:color w:val="auto"/>
          <w:highlight w:val="none"/>
        </w:rPr>
        <w:t>管道安装后，预留孔隙应填实；穿越防火墙处洞隙应采用难燃或不燃材料封堵。外墙预留洞口在管道安装后应采用防水密封材料封堵。</w:t>
      </w:r>
    </w:p>
    <w:p>
      <w:pPr>
        <w:ind w:firstLine="440" w:firstLineChars="200"/>
        <w:rPr>
          <w:color w:val="auto"/>
          <w:highlight w:val="none"/>
        </w:rPr>
      </w:pPr>
      <w:r>
        <w:rPr>
          <w:rFonts w:hint="eastAsia"/>
          <w:color w:val="auto"/>
          <w:highlight w:val="none"/>
        </w:rPr>
        <w:t>检查数量：全数检查。</w:t>
      </w:r>
    </w:p>
    <w:p>
      <w:pPr>
        <w:ind w:firstLine="440" w:firstLineChars="200"/>
        <w:rPr>
          <w:color w:val="auto"/>
          <w:highlight w:val="none"/>
        </w:rPr>
      </w:pPr>
      <w:r>
        <w:rPr>
          <w:rFonts w:hint="eastAsia"/>
          <w:color w:val="auto"/>
          <w:highlight w:val="none"/>
        </w:rPr>
        <w:t>检查方法：观察检查。</w:t>
      </w:r>
    </w:p>
    <w:p>
      <w:pPr>
        <w:rPr>
          <w:color w:val="auto"/>
          <w:highlight w:val="none"/>
        </w:rPr>
      </w:pPr>
    </w:p>
    <w:p>
      <w:pPr>
        <w:rPr>
          <w:color w:val="auto"/>
          <w:highlight w:val="none"/>
        </w:rPr>
        <w:sectPr>
          <w:pgSz w:w="11906" w:h="16838"/>
          <w:pgMar w:top="1610" w:right="1349" w:bottom="1213" w:left="1293" w:header="851" w:footer="992" w:gutter="0"/>
          <w:cols w:space="720" w:num="1"/>
          <w:docGrid w:type="linesAndChars" w:linePitch="333" w:charSpace="2165"/>
        </w:sectPr>
      </w:pPr>
    </w:p>
    <w:p>
      <w:pPr>
        <w:pStyle w:val="2"/>
        <w:rPr>
          <w:b/>
          <w:bCs w:val="0"/>
          <w:color w:val="auto"/>
          <w:highlight w:val="none"/>
        </w:rPr>
      </w:pPr>
      <w:bookmarkStart w:id="1434" w:name="_Toc14833"/>
      <w:bookmarkStart w:id="1435" w:name="_Toc27640"/>
      <w:bookmarkStart w:id="1436" w:name="_Toc10162"/>
      <w:bookmarkStart w:id="1437" w:name="_Toc28428"/>
      <w:bookmarkStart w:id="1438" w:name="_Toc26384"/>
      <w:bookmarkStart w:id="1439" w:name="_Toc527"/>
      <w:bookmarkStart w:id="1440" w:name="_Toc15488"/>
      <w:bookmarkStart w:id="1441" w:name="_Toc7067"/>
      <w:bookmarkStart w:id="1442" w:name="_Toc15088"/>
      <w:bookmarkStart w:id="1443" w:name="_Toc17768"/>
      <w:bookmarkStart w:id="1444" w:name="_Toc7404"/>
      <w:bookmarkStart w:id="1445" w:name="_Toc24764"/>
      <w:bookmarkStart w:id="1446" w:name="_Toc13491"/>
      <w:bookmarkStart w:id="1447" w:name="_Toc29808"/>
      <w:bookmarkStart w:id="1448" w:name="_Toc18311"/>
      <w:bookmarkStart w:id="1449" w:name="_Toc28021"/>
      <w:bookmarkStart w:id="1450" w:name="_Toc15347"/>
      <w:bookmarkStart w:id="1451" w:name="_Toc20199"/>
      <w:bookmarkStart w:id="1452" w:name="_Toc15869"/>
      <w:bookmarkStart w:id="1453" w:name="_Toc18882"/>
      <w:bookmarkStart w:id="1454" w:name="_Toc15668"/>
      <w:bookmarkStart w:id="1455" w:name="_Toc5421"/>
      <w:bookmarkStart w:id="1456" w:name="_Toc11594"/>
      <w:bookmarkStart w:id="1457" w:name="_Toc21088"/>
      <w:bookmarkStart w:id="1458" w:name="_Toc32144"/>
      <w:bookmarkStart w:id="1459" w:name="_Toc19960"/>
      <w:bookmarkStart w:id="1460" w:name="_Toc7525"/>
      <w:bookmarkStart w:id="1461" w:name="_Toc6771"/>
      <w:bookmarkStart w:id="1462" w:name="_Toc20684"/>
      <w:bookmarkStart w:id="1463" w:name="_Toc30664"/>
      <w:bookmarkStart w:id="1464" w:name="_Toc9403"/>
      <w:bookmarkStart w:id="1465" w:name="_Toc4197"/>
      <w:bookmarkStart w:id="1466" w:name="_Toc27903"/>
      <w:r>
        <w:rPr>
          <w:rFonts w:hint="eastAsia"/>
          <w:b/>
          <w:bCs w:val="0"/>
          <w:color w:val="auto"/>
          <w:highlight w:val="none"/>
        </w:rPr>
        <w:t>11  管理与维护</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p>
    <w:p>
      <w:pPr>
        <w:numPr>
          <w:ilvl w:val="0"/>
          <w:numId w:val="36"/>
        </w:numPr>
        <w:rPr>
          <w:color w:val="auto"/>
          <w:highlight w:val="none"/>
        </w:rPr>
      </w:pPr>
      <w:r>
        <w:rPr>
          <w:rFonts w:hint="eastAsia"/>
          <w:color w:val="auto"/>
          <w:highlight w:val="none"/>
        </w:rPr>
        <w:t>模块制造单位应配合工程项目的建设单位在交付物业时，提供使用维护文件《建筑质量保证书》和《建筑使用说明书》，并宜制定《检查与维护更新计划》。</w:t>
      </w:r>
    </w:p>
    <w:p>
      <w:pPr>
        <w:numPr>
          <w:ilvl w:val="0"/>
          <w:numId w:val="36"/>
        </w:numPr>
        <w:rPr>
          <w:color w:val="auto"/>
          <w:highlight w:val="none"/>
        </w:rPr>
      </w:pPr>
      <w:r>
        <w:rPr>
          <w:rFonts w:hint="eastAsia"/>
          <w:color w:val="auto"/>
          <w:highlight w:val="none"/>
        </w:rPr>
        <w:t>模块化建筑工程竣工交付使用满12个月后，建设单位宜派专业人员对模块单元进行检查，若有质量隐患，应采取排除、修缮的措施。</w:t>
      </w:r>
    </w:p>
    <w:p>
      <w:pPr>
        <w:numPr>
          <w:ilvl w:val="0"/>
          <w:numId w:val="36"/>
        </w:numPr>
        <w:rPr>
          <w:color w:val="auto"/>
          <w:highlight w:val="none"/>
        </w:rPr>
      </w:pPr>
      <w:r>
        <w:rPr>
          <w:rFonts w:hint="eastAsia"/>
          <w:color w:val="auto"/>
          <w:highlight w:val="none"/>
        </w:rPr>
        <w:t>《建筑质量保证书》除应按现行有关规定执行外，尚应注明相关部品部件的保修期限与保修承诺。</w:t>
      </w:r>
    </w:p>
    <w:p>
      <w:pPr>
        <w:numPr>
          <w:ilvl w:val="0"/>
          <w:numId w:val="36"/>
        </w:numPr>
        <w:rPr>
          <w:color w:val="auto"/>
          <w:highlight w:val="none"/>
        </w:rPr>
      </w:pPr>
      <w:r>
        <w:rPr>
          <w:rFonts w:hint="eastAsia"/>
          <w:color w:val="auto"/>
          <w:highlight w:val="none"/>
        </w:rPr>
        <w:t>《建筑使用说明书》除应按现行有关规定执行外，尚应包含以下内容</w:t>
      </w:r>
      <w:r>
        <w:rPr>
          <w:rFonts w:hint="eastAsia"/>
          <w:color w:val="auto"/>
          <w:highlight w:val="none"/>
          <w:lang w:eastAsia="zh-CN"/>
        </w:rPr>
        <w:t>：</w:t>
      </w:r>
      <w:r>
        <w:rPr>
          <w:rFonts w:hint="eastAsia"/>
          <w:color w:val="auto"/>
          <w:highlight w:val="none"/>
        </w:rPr>
        <w:t xml:space="preserve"> </w:t>
      </w:r>
    </w:p>
    <w:p>
      <w:pPr>
        <w:ind w:firstLine="480"/>
        <w:rPr>
          <w:color w:val="auto"/>
          <w:highlight w:val="none"/>
        </w:rPr>
      </w:pPr>
      <w:r>
        <w:rPr>
          <w:rFonts w:hint="eastAsia"/>
          <w:b/>
          <w:bCs/>
          <w:color w:val="auto"/>
          <w:highlight w:val="none"/>
        </w:rPr>
        <w:t>1</w:t>
      </w:r>
      <w:r>
        <w:rPr>
          <w:rFonts w:hint="eastAsia"/>
          <w:color w:val="auto"/>
          <w:highlight w:val="none"/>
        </w:rPr>
        <w:t xml:space="preserve">  主体结构使用说明：包括主体结构设计工作年限、结构体系、承重结构位置、使用荷载、使用要求、检查与维护等；</w:t>
      </w:r>
    </w:p>
    <w:p>
      <w:pPr>
        <w:ind w:firstLine="480"/>
        <w:rPr>
          <w:color w:val="auto"/>
          <w:highlight w:val="none"/>
        </w:rPr>
      </w:pPr>
      <w:r>
        <w:rPr>
          <w:rFonts w:hint="eastAsia"/>
          <w:b/>
          <w:bCs/>
          <w:color w:val="auto"/>
          <w:highlight w:val="none"/>
        </w:rPr>
        <w:t>2</w:t>
      </w:r>
      <w:r>
        <w:rPr>
          <w:rFonts w:hint="eastAsia"/>
          <w:color w:val="auto"/>
          <w:highlight w:val="none"/>
        </w:rPr>
        <w:t xml:space="preserve">  外围护结构使用说明：包括围护系统基层墙体和连接件的使用年限及维护周期、围护系统外饰面、防水层、保温以及密封材料的使用年限及维护周期、外墙可进行吊挂的部位、方法及吊挂力、日常与定期的检查与维护要求等；</w:t>
      </w:r>
    </w:p>
    <w:p>
      <w:pPr>
        <w:ind w:firstLine="480"/>
        <w:rPr>
          <w:color w:val="auto"/>
          <w:highlight w:val="none"/>
        </w:rPr>
      </w:pPr>
      <w:r>
        <w:rPr>
          <w:rFonts w:hint="eastAsia"/>
          <w:b/>
          <w:bCs/>
          <w:color w:val="auto"/>
          <w:highlight w:val="none"/>
        </w:rPr>
        <w:t>3</w:t>
      </w:r>
      <w:r>
        <w:rPr>
          <w:rFonts w:hint="eastAsia"/>
          <w:color w:val="auto"/>
          <w:highlight w:val="none"/>
        </w:rPr>
        <w:t xml:space="preserve">  设备与管线系统使用说明：包括设备与管线的系统组成、特性规格、部品寿命、维护要求等；</w:t>
      </w:r>
    </w:p>
    <w:p>
      <w:pPr>
        <w:ind w:firstLine="480"/>
        <w:rPr>
          <w:color w:val="auto"/>
          <w:highlight w:val="none"/>
        </w:rPr>
      </w:pPr>
      <w:r>
        <w:rPr>
          <w:rFonts w:hint="eastAsia"/>
          <w:b/>
          <w:bCs/>
          <w:color w:val="auto"/>
          <w:highlight w:val="none"/>
        </w:rPr>
        <w:t>4</w:t>
      </w:r>
      <w:r>
        <w:rPr>
          <w:rFonts w:hint="eastAsia"/>
          <w:color w:val="auto"/>
          <w:highlight w:val="none"/>
        </w:rPr>
        <w:t xml:space="preserve">  装修系统使用说明：内装系统组成、特性规格、部品寿命、维护要求等；</w:t>
      </w:r>
    </w:p>
    <w:p>
      <w:pPr>
        <w:ind w:firstLine="480"/>
        <w:rPr>
          <w:color w:val="auto"/>
          <w:highlight w:val="none"/>
        </w:rPr>
      </w:pPr>
      <w:r>
        <w:rPr>
          <w:rFonts w:hint="eastAsia"/>
          <w:b/>
          <w:bCs/>
          <w:color w:val="auto"/>
          <w:highlight w:val="none"/>
        </w:rPr>
        <w:t>5</w:t>
      </w:r>
      <w:r>
        <w:rPr>
          <w:rFonts w:hint="eastAsia"/>
          <w:color w:val="auto"/>
          <w:highlight w:val="none"/>
        </w:rPr>
        <w:t xml:space="preserve">  二次装修、改造的注意事项，应包含允许业主或使用者自行变更的部分与禁止部分；</w:t>
      </w:r>
    </w:p>
    <w:p>
      <w:pPr>
        <w:ind w:firstLine="480"/>
        <w:rPr>
          <w:color w:val="auto"/>
          <w:highlight w:val="none"/>
        </w:rPr>
      </w:pPr>
      <w:r>
        <w:rPr>
          <w:rFonts w:hint="eastAsia"/>
          <w:b/>
          <w:bCs/>
          <w:color w:val="auto"/>
          <w:highlight w:val="none"/>
        </w:rPr>
        <w:t>6</w:t>
      </w:r>
      <w:r>
        <w:rPr>
          <w:rFonts w:hint="eastAsia"/>
          <w:color w:val="auto"/>
          <w:highlight w:val="none"/>
        </w:rPr>
        <w:t xml:space="preserve">  建筑部品部件的产品使用维护说明书，主要部品部件宜注明合理的检查与使用维护年限。</w:t>
      </w:r>
    </w:p>
    <w:p>
      <w:pPr>
        <w:numPr>
          <w:ilvl w:val="0"/>
          <w:numId w:val="36"/>
        </w:numPr>
        <w:rPr>
          <w:color w:val="auto"/>
          <w:highlight w:val="none"/>
        </w:rPr>
      </w:pPr>
      <w:r>
        <w:rPr>
          <w:rFonts w:hint="eastAsia"/>
          <w:color w:val="auto"/>
          <w:highlight w:val="none"/>
        </w:rPr>
        <w:t>模块化建筑应按设计规定的用途使用。严禁下列影响结构使用安全的行为</w:t>
      </w:r>
      <w:r>
        <w:rPr>
          <w:rFonts w:hint="eastAsia"/>
          <w:color w:val="auto"/>
          <w:highlight w:val="none"/>
          <w:lang w:eastAsia="zh-CN"/>
        </w:rPr>
        <w:t>：</w:t>
      </w:r>
    </w:p>
    <w:p>
      <w:pPr>
        <w:ind w:firstLine="440" w:firstLineChars="200"/>
        <w:rPr>
          <w:color w:val="auto"/>
          <w:highlight w:val="none"/>
        </w:rPr>
      </w:pPr>
      <w:r>
        <w:rPr>
          <w:rFonts w:hint="eastAsia"/>
          <w:b/>
          <w:bCs/>
          <w:color w:val="auto"/>
          <w:highlight w:val="none"/>
        </w:rPr>
        <w:t>1</w:t>
      </w:r>
      <w:r>
        <w:rPr>
          <w:rFonts w:hint="eastAsia"/>
          <w:color w:val="auto"/>
          <w:highlight w:val="none"/>
        </w:rPr>
        <w:t xml:space="preserve">  未经技术鉴定或设计许可，擅自改变结构用途和使用环境</w:t>
      </w:r>
      <w:r>
        <w:rPr>
          <w:rFonts w:hint="eastAsia"/>
          <w:color w:val="auto"/>
          <w:highlight w:val="none"/>
          <w:lang w:eastAsia="zh-CN"/>
        </w:rPr>
        <w:t>；</w:t>
      </w:r>
    </w:p>
    <w:p>
      <w:pPr>
        <w:ind w:firstLine="440" w:firstLineChars="200"/>
        <w:rPr>
          <w:color w:val="auto"/>
          <w:highlight w:val="none"/>
        </w:rPr>
      </w:pPr>
      <w:r>
        <w:rPr>
          <w:rFonts w:hint="eastAsia"/>
          <w:b/>
          <w:bCs/>
          <w:color w:val="auto"/>
          <w:highlight w:val="none"/>
        </w:rPr>
        <w:t>2</w:t>
      </w:r>
      <w:r>
        <w:rPr>
          <w:rFonts w:hint="eastAsia"/>
          <w:color w:val="auto"/>
          <w:highlight w:val="none"/>
        </w:rPr>
        <w:t xml:space="preserve">  损坏或者擅自变动结构体系及抗震设施，损坏模块连接节点及拼缝构造；</w:t>
      </w:r>
    </w:p>
    <w:p>
      <w:pPr>
        <w:ind w:firstLine="440" w:firstLineChars="200"/>
        <w:rPr>
          <w:color w:val="auto"/>
          <w:highlight w:val="none"/>
        </w:rPr>
      </w:pPr>
      <w:r>
        <w:rPr>
          <w:rFonts w:hint="eastAsia"/>
          <w:b/>
          <w:bCs/>
          <w:color w:val="auto"/>
          <w:highlight w:val="none"/>
        </w:rPr>
        <w:t>3</w:t>
      </w:r>
      <w:r>
        <w:rPr>
          <w:rFonts w:hint="eastAsia"/>
          <w:color w:val="auto"/>
          <w:highlight w:val="none"/>
        </w:rPr>
        <w:t xml:space="preserve">  擅自增加结构使用荷载</w:t>
      </w:r>
      <w:r>
        <w:rPr>
          <w:rFonts w:hint="eastAsia"/>
          <w:color w:val="auto"/>
          <w:highlight w:val="none"/>
          <w:lang w:eastAsia="zh-CN"/>
        </w:rPr>
        <w:t>；</w:t>
      </w:r>
    </w:p>
    <w:p>
      <w:pPr>
        <w:ind w:firstLine="440" w:firstLineChars="200"/>
        <w:rPr>
          <w:color w:val="auto"/>
          <w:highlight w:val="none"/>
        </w:rPr>
      </w:pPr>
      <w:r>
        <w:rPr>
          <w:rFonts w:hint="eastAsia"/>
          <w:b/>
          <w:bCs/>
          <w:color w:val="auto"/>
          <w:highlight w:val="none"/>
        </w:rPr>
        <w:t>4</w:t>
      </w:r>
      <w:r>
        <w:rPr>
          <w:rFonts w:hint="eastAsia"/>
          <w:color w:val="auto"/>
          <w:highlight w:val="none"/>
        </w:rPr>
        <w:t xml:space="preserve">  违规存放爆炸性、毒害性、放射性、腐蚀性等危险物品；</w:t>
      </w:r>
    </w:p>
    <w:p>
      <w:pPr>
        <w:ind w:firstLine="440" w:firstLineChars="200"/>
        <w:rPr>
          <w:color w:val="auto"/>
          <w:highlight w:val="none"/>
        </w:rPr>
      </w:pPr>
      <w:r>
        <w:rPr>
          <w:rFonts w:hint="eastAsia"/>
          <w:b/>
          <w:bCs/>
          <w:color w:val="auto"/>
          <w:highlight w:val="none"/>
        </w:rPr>
        <w:t>5</w:t>
      </w:r>
      <w:r>
        <w:rPr>
          <w:rFonts w:hint="eastAsia"/>
          <w:color w:val="auto"/>
          <w:highlight w:val="none"/>
        </w:rPr>
        <w:t xml:space="preserve">  影响毗邻结构使用安全的结构改造与施工。</w:t>
      </w:r>
    </w:p>
    <w:p>
      <w:pPr>
        <w:numPr>
          <w:ilvl w:val="0"/>
          <w:numId w:val="36"/>
        </w:numPr>
        <w:rPr>
          <w:color w:val="auto"/>
          <w:highlight w:val="none"/>
        </w:rPr>
      </w:pPr>
      <w:r>
        <w:rPr>
          <w:rFonts w:hint="eastAsia"/>
          <w:color w:val="auto"/>
          <w:highlight w:val="none"/>
        </w:rPr>
        <w:t>模块化建筑若超过使用年限时，应对结构和围护系统进行全面检查，并对结构安全性能进行鉴定评估，评估合格后，应重新规定后续使用年限</w:t>
      </w:r>
      <w:r>
        <w:rPr>
          <w:rFonts w:hint="eastAsia"/>
          <w:color w:val="auto"/>
          <w:highlight w:val="none"/>
          <w:lang w:eastAsia="zh-CN"/>
        </w:rPr>
        <w:t>：</w:t>
      </w:r>
      <w:r>
        <w:rPr>
          <w:rFonts w:hint="eastAsia"/>
          <w:color w:val="auto"/>
          <w:highlight w:val="none"/>
        </w:rPr>
        <w:t>评估不合格的不应继续使用，并及时</w:t>
      </w:r>
      <w:r>
        <w:rPr>
          <w:rFonts w:hint="eastAsia"/>
          <w:color w:val="auto"/>
          <w:highlight w:val="none"/>
          <w:lang w:eastAsia="zh-CN"/>
        </w:rPr>
        <w:t>作</w:t>
      </w:r>
      <w:r>
        <w:rPr>
          <w:rFonts w:hint="eastAsia"/>
          <w:color w:val="auto"/>
          <w:highlight w:val="none"/>
        </w:rPr>
        <w:t>报废处理。</w:t>
      </w:r>
    </w:p>
    <w:p>
      <w:pPr>
        <w:numPr>
          <w:ilvl w:val="0"/>
          <w:numId w:val="36"/>
        </w:numPr>
        <w:rPr>
          <w:color w:val="auto"/>
          <w:highlight w:val="none"/>
        </w:rPr>
      </w:pPr>
      <w:r>
        <w:rPr>
          <w:rFonts w:hint="eastAsia"/>
          <w:color w:val="auto"/>
          <w:highlight w:val="none"/>
        </w:rPr>
        <w:t>运营维护阶段宜采用BIM技术与物联网技术相结合，建立建筑管理档案，在建筑全生命运维周期中优化能源管理节能减排。</w:t>
      </w:r>
    </w:p>
    <w:p>
      <w:pPr>
        <w:numPr>
          <w:ilvl w:val="0"/>
          <w:numId w:val="36"/>
        </w:numPr>
        <w:rPr>
          <w:color w:val="auto"/>
          <w:highlight w:val="none"/>
        </w:rPr>
      </w:pPr>
      <w:r>
        <w:rPr>
          <w:rFonts w:hint="eastAsia"/>
          <w:color w:val="auto"/>
          <w:highlight w:val="none"/>
        </w:rPr>
        <w:t>模块化建筑运维过程中宜根据《建筑使用说明书》建立对建筑各系统的检查与维护制度，明确检查时间、周期与内容，并建立运维记录台账。</w:t>
      </w:r>
    </w:p>
    <w:p>
      <w:pPr>
        <w:numPr>
          <w:ilvl w:val="0"/>
          <w:numId w:val="36"/>
        </w:numPr>
        <w:rPr>
          <w:color w:val="auto"/>
          <w:highlight w:val="none"/>
        </w:rPr>
      </w:pPr>
      <w:r>
        <w:rPr>
          <w:rFonts w:hint="eastAsia"/>
          <w:color w:val="auto"/>
          <w:highlight w:val="none"/>
        </w:rPr>
        <w:t>在保修期内，若模块单元出现了保修责任范围内的相关问题，模块制造单位应配合施工总承包单位完成修理工作。</w:t>
      </w:r>
    </w:p>
    <w:p>
      <w:pPr>
        <w:jc w:val="left"/>
        <w:rPr>
          <w:color w:val="auto"/>
          <w:highlight w:val="none"/>
        </w:rPr>
        <w:sectPr>
          <w:pgSz w:w="11906" w:h="16838"/>
          <w:pgMar w:top="1610" w:right="1349" w:bottom="1213" w:left="1293" w:header="851" w:footer="992" w:gutter="0"/>
          <w:cols w:space="720" w:num="1"/>
          <w:docGrid w:type="linesAndChars" w:linePitch="333" w:charSpace="2165"/>
        </w:sectPr>
      </w:pPr>
    </w:p>
    <w:p>
      <w:pPr>
        <w:pStyle w:val="2"/>
        <w:rPr>
          <w:b/>
          <w:bCs w:val="0"/>
          <w:color w:val="auto"/>
          <w:highlight w:val="none"/>
        </w:rPr>
      </w:pPr>
      <w:bookmarkStart w:id="1467" w:name="_Toc2502"/>
      <w:bookmarkStart w:id="1468" w:name="_Toc30802"/>
      <w:bookmarkStart w:id="1469" w:name="_Toc11354"/>
      <w:bookmarkStart w:id="1470" w:name="_Toc26594"/>
      <w:bookmarkStart w:id="1471" w:name="_Toc6618"/>
      <w:bookmarkStart w:id="1472" w:name="_Toc9133"/>
      <w:bookmarkStart w:id="1473" w:name="_Toc31457"/>
      <w:bookmarkStart w:id="1474" w:name="_Toc4418"/>
      <w:bookmarkStart w:id="1475" w:name="_Toc5678"/>
      <w:bookmarkStart w:id="1476" w:name="_Toc6726"/>
      <w:bookmarkStart w:id="1477" w:name="_Toc18908"/>
      <w:bookmarkStart w:id="1478" w:name="_Toc13857"/>
      <w:bookmarkStart w:id="1479" w:name="_Toc7005"/>
      <w:bookmarkStart w:id="1480" w:name="_Toc30441"/>
      <w:bookmarkStart w:id="1481" w:name="_Toc14001"/>
      <w:bookmarkStart w:id="1482" w:name="_Toc15692"/>
      <w:bookmarkStart w:id="1483" w:name="_Toc3706"/>
      <w:bookmarkStart w:id="1484" w:name="_Toc29888"/>
      <w:bookmarkStart w:id="1485" w:name="_Toc28687"/>
      <w:bookmarkStart w:id="1486" w:name="_Toc16842"/>
      <w:bookmarkStart w:id="1487" w:name="_Toc19541"/>
      <w:bookmarkStart w:id="1488" w:name="_Toc11965"/>
      <w:bookmarkStart w:id="1489" w:name="_Toc21089"/>
      <w:bookmarkStart w:id="1490" w:name="_Toc30796"/>
      <w:bookmarkStart w:id="1491" w:name="_Toc24188"/>
      <w:bookmarkStart w:id="1492" w:name="_Toc13609"/>
      <w:bookmarkStart w:id="1493" w:name="_Toc27935"/>
      <w:bookmarkStart w:id="1494" w:name="_Toc30890"/>
      <w:bookmarkStart w:id="1495" w:name="_Toc23856"/>
      <w:bookmarkStart w:id="1496" w:name="_Toc28108"/>
      <w:bookmarkStart w:id="1497" w:name="_Toc6767"/>
      <w:bookmarkStart w:id="1498" w:name="_Toc2340"/>
      <w:bookmarkStart w:id="1499" w:name="_Toc15691"/>
      <w:r>
        <w:rPr>
          <w:b/>
          <w:bCs w:val="0"/>
          <w:color w:val="auto"/>
          <w:highlight w:val="none"/>
        </w:rPr>
        <w:t>12</w:t>
      </w:r>
      <w:r>
        <w:rPr>
          <w:rFonts w:hint="eastAsia"/>
          <w:b/>
          <w:bCs w:val="0"/>
          <w:color w:val="auto"/>
          <w:highlight w:val="none"/>
        </w:rPr>
        <w:t xml:space="preserve">  智能建造</w:t>
      </w:r>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p>
    <w:p>
      <w:pPr>
        <w:pStyle w:val="4"/>
        <w:rPr>
          <w:color w:val="auto"/>
          <w:highlight w:val="none"/>
        </w:rPr>
      </w:pPr>
      <w:bookmarkStart w:id="1500" w:name="_Toc18222"/>
      <w:bookmarkStart w:id="1501" w:name="_Toc23972"/>
      <w:bookmarkStart w:id="1502" w:name="_Toc21533"/>
      <w:bookmarkStart w:id="1503" w:name="_Toc14591"/>
      <w:bookmarkStart w:id="1504" w:name="_Toc27856"/>
      <w:bookmarkStart w:id="1505" w:name="_Toc4348"/>
      <w:bookmarkStart w:id="1506" w:name="_Toc28861"/>
      <w:bookmarkStart w:id="1507" w:name="_Toc9229"/>
      <w:bookmarkStart w:id="1508" w:name="_Toc12971"/>
      <w:bookmarkStart w:id="1509" w:name="_Toc8476"/>
      <w:bookmarkStart w:id="1510" w:name="_Toc16394"/>
      <w:bookmarkStart w:id="1511" w:name="_Toc30654"/>
      <w:bookmarkStart w:id="1512" w:name="_Toc31946"/>
      <w:bookmarkStart w:id="1513" w:name="_Toc77"/>
      <w:bookmarkStart w:id="1514" w:name="_Toc9445"/>
      <w:bookmarkStart w:id="1515" w:name="_Toc8741"/>
      <w:bookmarkStart w:id="1516" w:name="_Toc212"/>
      <w:bookmarkStart w:id="1517" w:name="_Toc25289"/>
      <w:bookmarkStart w:id="1518" w:name="_Toc5378"/>
      <w:bookmarkStart w:id="1519" w:name="_Toc7031"/>
      <w:bookmarkStart w:id="1520" w:name="_Toc9454"/>
      <w:bookmarkStart w:id="1521" w:name="_Toc29694"/>
      <w:bookmarkStart w:id="1522" w:name="_Toc11905"/>
      <w:bookmarkStart w:id="1523" w:name="_Toc7087"/>
      <w:bookmarkStart w:id="1524" w:name="_Toc792"/>
      <w:bookmarkStart w:id="1525" w:name="_Toc18679"/>
      <w:bookmarkStart w:id="1526" w:name="_Toc12921"/>
      <w:bookmarkStart w:id="1527" w:name="_Toc8385"/>
      <w:bookmarkStart w:id="1528" w:name="_Toc26884"/>
      <w:bookmarkStart w:id="1529" w:name="_Toc9271"/>
      <w:bookmarkStart w:id="1530" w:name="_Toc11467"/>
      <w:bookmarkStart w:id="1531" w:name="_Toc22938"/>
      <w:bookmarkStart w:id="1532" w:name="_Toc12721"/>
      <w:r>
        <w:rPr>
          <w:b/>
          <w:bCs w:val="0"/>
          <w:color w:val="auto"/>
          <w:highlight w:val="none"/>
        </w:rPr>
        <w:t>12</w:t>
      </w:r>
      <w:r>
        <w:rPr>
          <w:rFonts w:hint="eastAsia" w:ascii="宋体" w:hAnsi="宋体" w:eastAsia="宋体"/>
          <w:color w:val="auto"/>
          <w:szCs w:val="21"/>
          <w:highlight w:val="none"/>
        </w:rPr>
        <w:t>.</w:t>
      </w:r>
      <w:r>
        <w:rPr>
          <w:b/>
          <w:bCs w:val="0"/>
          <w:color w:val="auto"/>
          <w:highlight w:val="none"/>
        </w:rPr>
        <w:t>1</w:t>
      </w:r>
      <w:r>
        <w:rPr>
          <w:rFonts w:hint="eastAsia"/>
          <w:color w:val="auto"/>
          <w:highlight w:val="none"/>
        </w:rPr>
        <w:t xml:space="preserve">  一般规定</w:t>
      </w:r>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p>
    <w:p>
      <w:pPr>
        <w:numPr>
          <w:ilvl w:val="0"/>
          <w:numId w:val="37"/>
        </w:numPr>
        <w:rPr>
          <w:rFonts w:hint="eastAsia" w:ascii="宋体" w:hAnsi="宋体"/>
          <w:color w:val="auto"/>
          <w:highlight w:val="none"/>
        </w:rPr>
      </w:pPr>
      <w:r>
        <w:rPr>
          <w:rFonts w:hint="eastAsia" w:ascii="宋体" w:hAnsi="宋体"/>
          <w:color w:val="auto"/>
          <w:highlight w:val="none"/>
        </w:rPr>
        <w:t>混凝土模</w:t>
      </w:r>
      <w:r>
        <w:rPr>
          <w:rFonts w:hint="eastAsia"/>
          <w:color w:val="auto"/>
          <w:highlight w:val="none"/>
        </w:rPr>
        <w:t>块化建筑宜采用信息化、数字化管理平台，并宜通过数据信息在勘察、设计、制造与运输、施工安装及运维各个环节的协同，实现全过程的数字化管理。</w:t>
      </w:r>
    </w:p>
    <w:p>
      <w:pPr>
        <w:numPr>
          <w:ilvl w:val="0"/>
          <w:numId w:val="37"/>
        </w:numPr>
        <w:rPr>
          <w:rFonts w:hint="eastAsia" w:ascii="宋体" w:hAnsi="宋体"/>
          <w:color w:val="auto"/>
          <w:highlight w:val="none"/>
        </w:rPr>
      </w:pPr>
      <w:r>
        <w:rPr>
          <w:rFonts w:hint="eastAsia" w:ascii="宋体" w:hAnsi="宋体"/>
          <w:color w:val="auto"/>
          <w:highlight w:val="none"/>
        </w:rPr>
        <w:t>信息化管理平台的数据应长期保存，并应具备可追溯性及可更新维护性，勘察设计、制造运输、施工建造、运维管理等各子系统数据应互联互通。</w:t>
      </w:r>
    </w:p>
    <w:p>
      <w:pPr>
        <w:numPr>
          <w:ilvl w:val="0"/>
          <w:numId w:val="37"/>
        </w:numPr>
        <w:rPr>
          <w:rFonts w:hint="eastAsia" w:ascii="宋体" w:hAnsi="宋体"/>
          <w:color w:val="auto"/>
          <w:highlight w:val="none"/>
        </w:rPr>
      </w:pPr>
      <w:r>
        <w:rPr>
          <w:rFonts w:hint="eastAsia" w:ascii="宋体" w:hAnsi="宋体"/>
          <w:color w:val="auto"/>
          <w:highlight w:val="none"/>
        </w:rPr>
        <w:t>混凝土模块化建筑</w:t>
      </w:r>
      <w:r>
        <w:rPr>
          <w:rFonts w:hint="eastAsia"/>
          <w:color w:val="auto"/>
          <w:highlight w:val="none"/>
        </w:rPr>
        <w:t>宜结合工程特点，在勘察设计、制造、运输、工程监理、质量验收等环节采用匹配项目需求的智能建造技术。</w:t>
      </w:r>
    </w:p>
    <w:p>
      <w:pPr>
        <w:pStyle w:val="4"/>
        <w:rPr>
          <w:color w:val="auto"/>
          <w:highlight w:val="none"/>
        </w:rPr>
      </w:pPr>
      <w:bookmarkStart w:id="1533" w:name="_Toc503"/>
      <w:bookmarkStart w:id="1534" w:name="_Toc12356"/>
      <w:bookmarkStart w:id="1535" w:name="_Toc1538"/>
      <w:bookmarkStart w:id="1536" w:name="_Toc5026"/>
      <w:bookmarkStart w:id="1537" w:name="_Toc22344"/>
      <w:bookmarkStart w:id="1538" w:name="_Toc22025"/>
      <w:bookmarkStart w:id="1539" w:name="_Toc4956"/>
      <w:bookmarkStart w:id="1540" w:name="_Toc1571"/>
      <w:bookmarkStart w:id="1541" w:name="_Toc23437"/>
      <w:bookmarkStart w:id="1542" w:name="_Toc26926"/>
      <w:bookmarkStart w:id="1543" w:name="_Toc18284"/>
      <w:bookmarkStart w:id="1544" w:name="_Toc22612"/>
      <w:bookmarkStart w:id="1545" w:name="_Toc19986"/>
      <w:bookmarkStart w:id="1546" w:name="_Toc7660"/>
      <w:bookmarkStart w:id="1547" w:name="_Toc2716"/>
      <w:bookmarkStart w:id="1548" w:name="_Toc28990"/>
      <w:bookmarkStart w:id="1549" w:name="_Toc21075"/>
      <w:bookmarkStart w:id="1550" w:name="_Toc15005"/>
      <w:bookmarkStart w:id="1551" w:name="_Toc30698"/>
      <w:bookmarkStart w:id="1552" w:name="_Toc30174"/>
      <w:bookmarkStart w:id="1553" w:name="_Toc7617"/>
      <w:bookmarkStart w:id="1554" w:name="_Toc32393"/>
      <w:bookmarkStart w:id="1555" w:name="_Toc31410"/>
      <w:bookmarkStart w:id="1556" w:name="_Toc12517"/>
      <w:bookmarkStart w:id="1557" w:name="_Toc15172"/>
      <w:bookmarkStart w:id="1558" w:name="_Toc22211"/>
      <w:bookmarkStart w:id="1559" w:name="_Toc2917"/>
      <w:bookmarkStart w:id="1560" w:name="_Toc9706"/>
      <w:bookmarkStart w:id="1561" w:name="_Toc8628"/>
      <w:bookmarkStart w:id="1562" w:name="_Toc9942"/>
      <w:bookmarkStart w:id="1563" w:name="_Toc19682"/>
      <w:bookmarkStart w:id="1564" w:name="_Toc8526"/>
      <w:bookmarkStart w:id="1565" w:name="_Toc15728"/>
      <w:r>
        <w:rPr>
          <w:b/>
          <w:bCs w:val="0"/>
          <w:color w:val="auto"/>
          <w:highlight w:val="none"/>
        </w:rPr>
        <w:t>12</w:t>
      </w:r>
      <w:r>
        <w:rPr>
          <w:rFonts w:hint="eastAsia" w:ascii="宋体" w:hAnsi="宋体" w:eastAsia="宋体"/>
          <w:b/>
          <w:bCs w:val="0"/>
          <w:color w:val="auto"/>
          <w:szCs w:val="21"/>
          <w:highlight w:val="none"/>
        </w:rPr>
        <w:t>.</w:t>
      </w:r>
      <w:r>
        <w:rPr>
          <w:b/>
          <w:bCs w:val="0"/>
          <w:color w:val="auto"/>
          <w:highlight w:val="none"/>
        </w:rPr>
        <w:t>2</w:t>
      </w:r>
      <w:r>
        <w:rPr>
          <w:color w:val="auto"/>
          <w:highlight w:val="none"/>
        </w:rPr>
        <w:t xml:space="preserve">  数字化设计</w:t>
      </w:r>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p>
    <w:p>
      <w:pPr>
        <w:numPr>
          <w:ilvl w:val="0"/>
          <w:numId w:val="38"/>
        </w:numPr>
        <w:rPr>
          <w:color w:val="auto"/>
          <w:highlight w:val="none"/>
        </w:rPr>
      </w:pPr>
      <w:r>
        <w:rPr>
          <w:rFonts w:hint="eastAsia"/>
          <w:color w:val="auto"/>
          <w:highlight w:val="none"/>
        </w:rPr>
        <w:t>混凝土模块化建筑应采用建筑信息模型技术进行勘测设计、方案设计、施工图设计及加工图设计。</w:t>
      </w:r>
    </w:p>
    <w:p>
      <w:pPr>
        <w:numPr>
          <w:ilvl w:val="0"/>
          <w:numId w:val="38"/>
        </w:numPr>
        <w:rPr>
          <w:color w:val="auto"/>
          <w:highlight w:val="none"/>
        </w:rPr>
      </w:pPr>
      <w:r>
        <w:rPr>
          <w:rFonts w:hint="eastAsia"/>
          <w:color w:val="auto"/>
          <w:highlight w:val="none"/>
        </w:rPr>
        <w:t>混凝土模块化建筑的建筑信息模型正向设计应符合下列规定：</w:t>
      </w:r>
    </w:p>
    <w:p>
      <w:pPr>
        <w:ind w:firstLine="440" w:firstLineChars="200"/>
        <w:rPr>
          <w:color w:val="auto"/>
          <w:highlight w:val="none"/>
        </w:rPr>
      </w:pPr>
      <w:r>
        <w:rPr>
          <w:rFonts w:hint="eastAsia"/>
          <w:b/>
          <w:color w:val="auto"/>
          <w:highlight w:val="none"/>
        </w:rPr>
        <w:t>1</w:t>
      </w:r>
      <w:r>
        <w:rPr>
          <w:color w:val="auto"/>
          <w:highlight w:val="none"/>
        </w:rPr>
        <w:t xml:space="preserve">  </w:t>
      </w:r>
      <w:r>
        <w:rPr>
          <w:rFonts w:hint="eastAsia"/>
          <w:color w:val="auto"/>
          <w:highlight w:val="none"/>
        </w:rPr>
        <w:t>方案阶段应采用面向制造和装配的设计方法，模块单元的加工图设计宜与建筑施工图设计和内装设计同步开展；</w:t>
      </w:r>
    </w:p>
    <w:p>
      <w:pPr>
        <w:ind w:firstLine="440" w:firstLineChars="200"/>
        <w:rPr>
          <w:color w:val="auto"/>
          <w:highlight w:val="none"/>
        </w:rPr>
      </w:pPr>
      <w:r>
        <w:rPr>
          <w:rFonts w:hint="eastAsia"/>
          <w:b/>
          <w:color w:val="auto"/>
          <w:highlight w:val="none"/>
        </w:rPr>
        <w:t>2</w:t>
      </w:r>
      <w:r>
        <w:rPr>
          <w:color w:val="auto"/>
          <w:highlight w:val="none"/>
        </w:rPr>
        <w:t xml:space="preserve">  </w:t>
      </w:r>
      <w:r>
        <w:rPr>
          <w:rFonts w:hint="eastAsia"/>
          <w:color w:val="auto"/>
          <w:highlight w:val="none"/>
        </w:rPr>
        <w:t>模块单元的加工图，应包含结构加工图、设备管线加工图、装修和幕墙加工图等。</w:t>
      </w:r>
    </w:p>
    <w:p>
      <w:pPr>
        <w:numPr>
          <w:ilvl w:val="0"/>
          <w:numId w:val="38"/>
        </w:numPr>
        <w:rPr>
          <w:color w:val="auto"/>
          <w:highlight w:val="none"/>
        </w:rPr>
      </w:pPr>
      <w:r>
        <w:rPr>
          <w:rFonts w:hint="eastAsia"/>
          <w:color w:val="auto"/>
          <w:highlight w:val="none"/>
        </w:rPr>
        <w:t>混凝土模块化建筑宜搭建协同设计管理平台和构件设计管理平台，实现数字化辅助管理。</w:t>
      </w:r>
    </w:p>
    <w:p>
      <w:pPr>
        <w:numPr>
          <w:ilvl w:val="0"/>
          <w:numId w:val="38"/>
        </w:numPr>
        <w:rPr>
          <w:color w:val="auto"/>
          <w:highlight w:val="none"/>
        </w:rPr>
      </w:pPr>
      <w:r>
        <w:rPr>
          <w:rFonts w:hint="eastAsia"/>
          <w:color w:val="auto"/>
          <w:highlight w:val="none"/>
        </w:rPr>
        <w:t>模块化建筑在勘察设计阶段，宜采用勘察数据数字化采集、勘察数据成果数字化分析、数字化辅助设计与审核、数字化协同管理等数字化辅助技术，完成建筑勘察设计的各项工作。</w:t>
      </w:r>
    </w:p>
    <w:p>
      <w:pPr>
        <w:pStyle w:val="4"/>
        <w:rPr>
          <w:color w:val="auto"/>
          <w:highlight w:val="none"/>
        </w:rPr>
      </w:pPr>
      <w:bookmarkStart w:id="1566" w:name="_Toc11252"/>
      <w:bookmarkStart w:id="1567" w:name="_Toc10968"/>
      <w:bookmarkStart w:id="1568" w:name="_Toc29900"/>
      <w:bookmarkStart w:id="1569" w:name="_Toc24279"/>
      <w:bookmarkStart w:id="1570" w:name="_Toc4694"/>
      <w:bookmarkStart w:id="1571" w:name="_Toc22480"/>
      <w:bookmarkStart w:id="1572" w:name="_Toc2959"/>
      <w:bookmarkStart w:id="1573" w:name="_Toc21771"/>
      <w:bookmarkStart w:id="1574" w:name="_Toc12389"/>
      <w:bookmarkStart w:id="1575" w:name="_Toc24294"/>
      <w:bookmarkStart w:id="1576" w:name="_Toc19920"/>
      <w:bookmarkStart w:id="1577" w:name="_Toc28155"/>
      <w:bookmarkStart w:id="1578" w:name="_Toc12322"/>
      <w:bookmarkStart w:id="1579" w:name="_Toc20828"/>
      <w:bookmarkStart w:id="1580" w:name="_Toc28094"/>
      <w:bookmarkStart w:id="1581" w:name="_Toc12235"/>
      <w:bookmarkStart w:id="1582" w:name="_Toc16122"/>
      <w:bookmarkStart w:id="1780" w:name="_GoBack"/>
      <w:bookmarkEnd w:id="1780"/>
      <w:r>
        <w:rPr>
          <w:b/>
          <w:bCs w:val="0"/>
          <w:color w:val="auto"/>
          <w:highlight w:val="none"/>
        </w:rPr>
        <w:t>12</w:t>
      </w:r>
      <w:r>
        <w:rPr>
          <w:rFonts w:hint="eastAsia" w:ascii="宋体" w:hAnsi="宋体" w:eastAsia="宋体"/>
          <w:color w:val="auto"/>
          <w:szCs w:val="21"/>
          <w:highlight w:val="none"/>
        </w:rPr>
        <w:t>.</w:t>
      </w:r>
      <w:r>
        <w:rPr>
          <w:rFonts w:hint="eastAsia" w:eastAsia="宋体"/>
          <w:b/>
          <w:bCs w:val="0"/>
          <w:color w:val="auto"/>
          <w:highlight w:val="none"/>
        </w:rPr>
        <w:t>3</w:t>
      </w:r>
      <w:r>
        <w:rPr>
          <w:rFonts w:hint="eastAsia"/>
          <w:color w:val="auto"/>
          <w:highlight w:val="none"/>
        </w:rPr>
        <w:t xml:space="preserve">  智能化制造和运输</w:t>
      </w:r>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p>
    <w:p>
      <w:pPr>
        <w:numPr>
          <w:ilvl w:val="0"/>
          <w:numId w:val="39"/>
        </w:numPr>
        <w:rPr>
          <w:color w:val="auto"/>
          <w:highlight w:val="none"/>
        </w:rPr>
      </w:pPr>
      <w:r>
        <w:rPr>
          <w:rFonts w:hint="eastAsia"/>
          <w:color w:val="auto"/>
          <w:highlight w:val="none"/>
        </w:rPr>
        <w:t>混凝土模块化建筑宜融合通信技术与制造技术，采用智能化制造、智能存储与运输、智能检测，实现信息互通、精准执行的制造过程。</w:t>
      </w:r>
    </w:p>
    <w:p>
      <w:pPr>
        <w:numPr>
          <w:ilvl w:val="0"/>
          <w:numId w:val="39"/>
        </w:numPr>
        <w:rPr>
          <w:color w:val="auto"/>
          <w:highlight w:val="none"/>
        </w:rPr>
      </w:pPr>
      <w:r>
        <w:rPr>
          <w:rFonts w:hint="eastAsia"/>
          <w:color w:val="auto"/>
          <w:highlight w:val="none"/>
        </w:rPr>
        <w:t>构件宜在制造阶段配发二维码或芯片进行构件信息</w:t>
      </w:r>
      <w:r>
        <w:rPr>
          <w:rFonts w:hint="eastAsia"/>
          <w:color w:val="auto"/>
          <w:highlight w:val="none"/>
          <w:lang w:eastAsia="zh-CN"/>
        </w:rPr>
        <w:t>标识</w:t>
      </w:r>
      <w:r>
        <w:rPr>
          <w:rFonts w:hint="eastAsia"/>
          <w:color w:val="auto"/>
          <w:highlight w:val="none"/>
        </w:rPr>
        <w:t>，并宜通过二维码及芯片记录制造阶段各关键工序环节的执行情况，承载信息需包括</w:t>
      </w:r>
      <w:r>
        <w:rPr>
          <w:rFonts w:hint="eastAsia"/>
          <w:color w:val="auto"/>
          <w:highlight w:val="none"/>
          <w:lang w:eastAsia="zh-CN"/>
        </w:rPr>
        <w:t>：</w:t>
      </w:r>
      <w:r>
        <w:rPr>
          <w:rFonts w:hint="eastAsia"/>
          <w:color w:val="auto"/>
          <w:highlight w:val="none"/>
        </w:rPr>
        <w:t>原材料使用、半成品加工、隐蔽验收、浇筑确认、成品检验、出场运输、现场安装及后期维护等信息等。</w:t>
      </w:r>
    </w:p>
    <w:p>
      <w:pPr>
        <w:numPr>
          <w:ilvl w:val="0"/>
          <w:numId w:val="39"/>
        </w:numPr>
        <w:rPr>
          <w:color w:val="auto"/>
          <w:highlight w:val="none"/>
        </w:rPr>
      </w:pPr>
      <w:r>
        <w:rPr>
          <w:rFonts w:hint="eastAsia"/>
          <w:color w:val="auto"/>
          <w:highlight w:val="none"/>
        </w:rPr>
        <w:t>混凝土模块化建筑宜通过建筑信息模型实现对制造过程的可视化指导，并宜自动导出物料清单。</w:t>
      </w:r>
    </w:p>
    <w:p>
      <w:pPr>
        <w:numPr>
          <w:ilvl w:val="0"/>
          <w:numId w:val="39"/>
        </w:numPr>
        <w:rPr>
          <w:color w:val="auto"/>
          <w:highlight w:val="none"/>
        </w:rPr>
      </w:pPr>
      <w:bookmarkStart w:id="1583" w:name="_Hlk184740829"/>
      <w:r>
        <w:rPr>
          <w:rFonts w:hint="eastAsia"/>
          <w:color w:val="auto"/>
          <w:highlight w:val="none"/>
        </w:rPr>
        <w:t>混凝土模块化建筑宜采用</w:t>
      </w:r>
      <w:r>
        <w:rPr>
          <w:rFonts w:hint="eastAsia"/>
          <w:color w:val="auto"/>
          <w:highlight w:val="none"/>
          <w:lang w:eastAsia="zh-CN"/>
        </w:rPr>
        <w:t>钢筋自动加工设备、混凝土自动浇筑设备、智能检测设备、</w:t>
      </w:r>
      <w:r>
        <w:rPr>
          <w:rFonts w:hint="eastAsia"/>
          <w:color w:val="auto"/>
          <w:highlight w:val="none"/>
        </w:rPr>
        <w:t>传感器等自动化设备，实现数字化管理和实时监控，确保模块制造的精度、效率和一致性。</w:t>
      </w:r>
    </w:p>
    <w:p>
      <w:pPr>
        <w:numPr>
          <w:ilvl w:val="0"/>
          <w:numId w:val="39"/>
        </w:numPr>
        <w:rPr>
          <w:color w:val="auto"/>
          <w:highlight w:val="none"/>
        </w:rPr>
      </w:pPr>
      <w:r>
        <w:rPr>
          <w:rFonts w:hint="eastAsia"/>
          <w:color w:val="auto"/>
          <w:highlight w:val="none"/>
        </w:rPr>
        <w:t>混凝土模块化建筑宜采用信息化技术及智能堆场装备，自主形成最优存储方案，达到产品分类明确、位置便于查询、占地面积减少、出入库便捷的效果。</w:t>
      </w:r>
    </w:p>
    <w:bookmarkEnd w:id="1583"/>
    <w:p>
      <w:pPr>
        <w:numPr>
          <w:ilvl w:val="0"/>
          <w:numId w:val="39"/>
        </w:numPr>
        <w:rPr>
          <w:color w:val="auto"/>
          <w:highlight w:val="none"/>
        </w:rPr>
      </w:pPr>
      <w:r>
        <w:rPr>
          <w:rFonts w:hint="eastAsia"/>
          <w:color w:val="auto"/>
          <w:highlight w:val="none"/>
        </w:rPr>
        <w:t>混凝土模块化建筑应通过智能制造管理系统，采用二维码或芯片技术对构件进行标签扫描与状态管理，并</w:t>
      </w:r>
      <w:r>
        <w:rPr>
          <w:rFonts w:hint="eastAsia"/>
          <w:color w:val="auto"/>
          <w:highlight w:val="none"/>
          <w:lang w:eastAsia="zh-CN"/>
        </w:rPr>
        <w:t>应</w:t>
      </w:r>
      <w:r>
        <w:rPr>
          <w:rFonts w:hint="eastAsia"/>
          <w:color w:val="auto"/>
          <w:highlight w:val="none"/>
        </w:rPr>
        <w:t>用运输车辆卫星定位技术，实现运输路线的预规划与过程状态监控管理。</w:t>
      </w:r>
    </w:p>
    <w:p>
      <w:pPr>
        <w:numPr>
          <w:ilvl w:val="0"/>
          <w:numId w:val="39"/>
        </w:numPr>
        <w:rPr>
          <w:color w:val="auto"/>
          <w:highlight w:val="none"/>
        </w:rPr>
      </w:pPr>
      <w:r>
        <w:rPr>
          <w:rFonts w:hint="eastAsia"/>
          <w:color w:val="auto"/>
          <w:highlight w:val="none"/>
        </w:rPr>
        <w:t>在建筑产品质量检验中，宜采用基于图像、三维信息、激光</w:t>
      </w:r>
      <w:r>
        <w:rPr>
          <w:rFonts w:hint="eastAsia"/>
          <w:color w:val="auto"/>
          <w:highlight w:val="none"/>
          <w:lang w:eastAsia="zh-CN"/>
        </w:rPr>
        <w:t>等</w:t>
      </w:r>
      <w:r>
        <w:rPr>
          <w:rFonts w:hint="eastAsia"/>
          <w:color w:val="auto"/>
          <w:highlight w:val="none"/>
        </w:rPr>
        <w:t>传感技术，自动完成测量和数据处理，形成检验结果。</w:t>
      </w:r>
    </w:p>
    <w:p>
      <w:pPr>
        <w:pStyle w:val="4"/>
        <w:rPr>
          <w:color w:val="auto"/>
          <w:highlight w:val="none"/>
        </w:rPr>
      </w:pPr>
      <w:bookmarkStart w:id="1584" w:name="_Toc8959"/>
      <w:bookmarkStart w:id="1585" w:name="_Toc13140"/>
      <w:bookmarkStart w:id="1586" w:name="_Toc15349"/>
      <w:bookmarkStart w:id="1587" w:name="_Toc6301"/>
      <w:bookmarkStart w:id="1588" w:name="_Toc4294"/>
      <w:bookmarkStart w:id="1589" w:name="_Toc26192"/>
      <w:bookmarkStart w:id="1590" w:name="_Toc9524"/>
      <w:bookmarkStart w:id="1591" w:name="_Toc352"/>
      <w:bookmarkStart w:id="1592" w:name="_Toc8652"/>
      <w:bookmarkStart w:id="1593" w:name="_Toc30543"/>
      <w:bookmarkStart w:id="1594" w:name="_Toc8569"/>
      <w:bookmarkStart w:id="1595" w:name="_Toc18500"/>
      <w:bookmarkStart w:id="1596" w:name="_Toc27712"/>
      <w:bookmarkStart w:id="1597" w:name="_Toc1476"/>
      <w:bookmarkStart w:id="1598" w:name="_Toc5283"/>
      <w:bookmarkStart w:id="1599" w:name="_Toc26890"/>
      <w:bookmarkStart w:id="1600" w:name="_Toc5535"/>
      <w:bookmarkStart w:id="1601" w:name="_Toc17901"/>
      <w:bookmarkStart w:id="1602" w:name="_Toc6914"/>
      <w:bookmarkStart w:id="1603" w:name="_Toc26993"/>
      <w:bookmarkStart w:id="1604" w:name="_Toc8832"/>
      <w:bookmarkStart w:id="1605" w:name="_Toc10597"/>
      <w:bookmarkStart w:id="1606" w:name="_Toc19790"/>
      <w:bookmarkStart w:id="1607" w:name="_Toc18002"/>
      <w:bookmarkStart w:id="1608" w:name="_Toc26205"/>
      <w:bookmarkStart w:id="1609" w:name="_Toc12672"/>
      <w:bookmarkStart w:id="1610" w:name="_Toc3558"/>
      <w:bookmarkStart w:id="1611" w:name="_Toc1377"/>
      <w:bookmarkStart w:id="1612" w:name="_Toc18521"/>
      <w:bookmarkStart w:id="1613" w:name="_Toc1365"/>
      <w:bookmarkStart w:id="1614" w:name="_Toc9095"/>
      <w:bookmarkStart w:id="1615" w:name="_Toc4362"/>
      <w:bookmarkStart w:id="1616" w:name="_Toc13729"/>
      <w:r>
        <w:rPr>
          <w:b/>
          <w:bCs w:val="0"/>
          <w:color w:val="auto"/>
          <w:highlight w:val="none"/>
        </w:rPr>
        <w:t>12</w:t>
      </w:r>
      <w:r>
        <w:rPr>
          <w:rFonts w:hint="eastAsia" w:ascii="宋体" w:hAnsi="宋体" w:eastAsia="宋体"/>
          <w:color w:val="auto"/>
          <w:szCs w:val="21"/>
          <w:highlight w:val="none"/>
        </w:rPr>
        <w:t>.</w:t>
      </w:r>
      <w:r>
        <w:rPr>
          <w:b/>
          <w:bCs w:val="0"/>
          <w:color w:val="auto"/>
          <w:highlight w:val="none"/>
        </w:rPr>
        <w:t>4</w:t>
      </w:r>
      <w:r>
        <w:rPr>
          <w:rFonts w:hint="eastAsia"/>
          <w:color w:val="auto"/>
          <w:highlight w:val="none"/>
        </w:rPr>
        <w:t xml:space="preserve">  数字化施工</w:t>
      </w:r>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p>
    <w:p>
      <w:pPr>
        <w:numPr>
          <w:ilvl w:val="0"/>
          <w:numId w:val="40"/>
        </w:numPr>
        <w:rPr>
          <w:color w:val="auto"/>
          <w:highlight w:val="none"/>
        </w:rPr>
      </w:pPr>
      <w:bookmarkStart w:id="1617" w:name="_Hlk184741012"/>
      <w:r>
        <w:rPr>
          <w:rFonts w:hint="eastAsia"/>
          <w:color w:val="auto"/>
          <w:highlight w:val="none"/>
        </w:rPr>
        <w:t>混凝土模块化建筑的模块组装和施工宜利用信息化平台以及自动化设备、智能化装备，并与制造、运输、施工实现信息共享和工作协同。</w:t>
      </w:r>
    </w:p>
    <w:p>
      <w:pPr>
        <w:numPr>
          <w:ilvl w:val="0"/>
          <w:numId w:val="40"/>
        </w:numPr>
        <w:rPr>
          <w:color w:val="auto"/>
          <w:highlight w:val="none"/>
        </w:rPr>
      </w:pPr>
      <w:r>
        <w:rPr>
          <w:rFonts w:hint="eastAsia"/>
          <w:color w:val="auto"/>
          <w:highlight w:val="none"/>
        </w:rPr>
        <w:t>混凝土模块化建筑的施工宜采用信息化技术进行智慧化施工管理，包括施工进度管理、设备安全监测、安全行为识别、材料智能化管理等。</w:t>
      </w:r>
    </w:p>
    <w:p>
      <w:pPr>
        <w:numPr>
          <w:ilvl w:val="0"/>
          <w:numId w:val="40"/>
        </w:numPr>
        <w:rPr>
          <w:color w:val="auto"/>
          <w:highlight w:val="none"/>
        </w:rPr>
      </w:pPr>
      <w:r>
        <w:rPr>
          <w:rFonts w:hint="eastAsia"/>
          <w:color w:val="auto"/>
          <w:highlight w:val="none"/>
        </w:rPr>
        <w:t>混凝土模块化建筑的施工宜采用建筑信息模型技术进行虚拟建造，包括可视化施工交底、4D施工方案模拟、施工过程数字测绘、虚拟验收、数字交付等。</w:t>
      </w:r>
    </w:p>
    <w:bookmarkEnd w:id="1617"/>
    <w:p>
      <w:pPr>
        <w:pStyle w:val="4"/>
        <w:rPr>
          <w:color w:val="auto"/>
          <w:highlight w:val="none"/>
        </w:rPr>
      </w:pPr>
      <w:bookmarkStart w:id="1618" w:name="_Toc16577"/>
      <w:bookmarkStart w:id="1619" w:name="_Toc7603"/>
      <w:bookmarkStart w:id="1620" w:name="_Toc26907"/>
      <w:bookmarkStart w:id="1621" w:name="_Toc27901"/>
      <w:bookmarkStart w:id="1622" w:name="_Toc10649"/>
      <w:bookmarkStart w:id="1623" w:name="_Toc32404"/>
      <w:bookmarkStart w:id="1624" w:name="_Toc9456"/>
      <w:bookmarkStart w:id="1625" w:name="_Toc6220"/>
      <w:bookmarkStart w:id="1626" w:name="_Toc17891"/>
      <w:bookmarkStart w:id="1627" w:name="_Toc28791"/>
      <w:bookmarkStart w:id="1628" w:name="_Toc10027"/>
      <w:bookmarkStart w:id="1629" w:name="_Toc4849"/>
      <w:bookmarkStart w:id="1630" w:name="_Toc9719"/>
      <w:bookmarkStart w:id="1631" w:name="_Toc25797"/>
      <w:bookmarkStart w:id="1632" w:name="_Toc25590"/>
      <w:bookmarkStart w:id="1633" w:name="_Toc7336"/>
      <w:bookmarkStart w:id="1634" w:name="_Toc27051"/>
      <w:bookmarkStart w:id="1635" w:name="_Toc14787"/>
      <w:bookmarkStart w:id="1636" w:name="_Toc28906"/>
      <w:bookmarkStart w:id="1637" w:name="_Toc4874"/>
      <w:bookmarkStart w:id="1638" w:name="_Toc8350"/>
      <w:bookmarkStart w:id="1639" w:name="_Toc17697"/>
      <w:bookmarkStart w:id="1640" w:name="_Toc1542"/>
      <w:bookmarkStart w:id="1641" w:name="_Toc6328"/>
      <w:bookmarkStart w:id="1642" w:name="_Toc20067"/>
      <w:bookmarkStart w:id="1643" w:name="_Toc26409"/>
      <w:bookmarkStart w:id="1644" w:name="_Toc15509"/>
      <w:bookmarkStart w:id="1645" w:name="_Toc12695"/>
      <w:bookmarkStart w:id="1646" w:name="_Toc7418"/>
      <w:bookmarkStart w:id="1647" w:name="_Toc12553"/>
      <w:bookmarkStart w:id="1648" w:name="_Toc23122"/>
      <w:bookmarkStart w:id="1649" w:name="_Toc4936"/>
      <w:bookmarkStart w:id="1650" w:name="_Toc8802"/>
      <w:r>
        <w:rPr>
          <w:b/>
          <w:bCs w:val="0"/>
          <w:color w:val="auto"/>
          <w:highlight w:val="none"/>
        </w:rPr>
        <w:t>12</w:t>
      </w:r>
      <w:r>
        <w:rPr>
          <w:rFonts w:hint="eastAsia" w:ascii="宋体" w:hAnsi="宋体" w:eastAsia="宋体"/>
          <w:color w:val="auto"/>
          <w:szCs w:val="21"/>
          <w:highlight w:val="none"/>
        </w:rPr>
        <w:t>.</w:t>
      </w:r>
      <w:r>
        <w:rPr>
          <w:b/>
          <w:bCs w:val="0"/>
          <w:color w:val="auto"/>
          <w:highlight w:val="none"/>
        </w:rPr>
        <w:t>5</w:t>
      </w:r>
      <w:r>
        <w:rPr>
          <w:color w:val="auto"/>
          <w:highlight w:val="none"/>
        </w:rPr>
        <w:t xml:space="preserve">  </w:t>
      </w:r>
      <w:r>
        <w:rPr>
          <w:rFonts w:hint="eastAsia"/>
          <w:color w:val="auto"/>
          <w:highlight w:val="none"/>
        </w:rPr>
        <w:t>智能化运营和维护</w:t>
      </w:r>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p>
    <w:p>
      <w:pPr>
        <w:numPr>
          <w:ilvl w:val="0"/>
          <w:numId w:val="41"/>
        </w:numPr>
        <w:rPr>
          <w:color w:val="auto"/>
          <w:highlight w:val="none"/>
        </w:rPr>
      </w:pPr>
      <w:r>
        <w:rPr>
          <w:rFonts w:hint="eastAsia"/>
          <w:color w:val="auto"/>
          <w:highlight w:val="none"/>
        </w:rPr>
        <w:t>模块化建筑应通过数字化平台、基于标准数据格式，实现产业链各阶段数据、资料、模型的完整交付。</w:t>
      </w:r>
    </w:p>
    <w:p>
      <w:pPr>
        <w:numPr>
          <w:ilvl w:val="0"/>
          <w:numId w:val="41"/>
        </w:numPr>
        <w:rPr>
          <w:color w:val="auto"/>
          <w:highlight w:val="none"/>
        </w:rPr>
      </w:pPr>
      <w:r>
        <w:rPr>
          <w:rFonts w:hint="eastAsia" w:ascii="宋体" w:hAnsi="宋体"/>
          <w:color w:val="auto"/>
          <w:highlight w:val="none"/>
        </w:rPr>
        <w:t>模块化建筑宜通过数字化平台，将建筑模型、图纸等静态资料与智能化系统监测的动态数据融合为统一的数据资源。</w:t>
      </w:r>
    </w:p>
    <w:p>
      <w:pPr>
        <w:numPr>
          <w:ilvl w:val="0"/>
          <w:numId w:val="41"/>
        </w:numPr>
        <w:rPr>
          <w:color w:val="auto"/>
          <w:highlight w:val="none"/>
        </w:rPr>
      </w:pPr>
      <w:r>
        <w:rPr>
          <w:rFonts w:hint="eastAsia" w:ascii="宋体" w:hAnsi="宋体"/>
          <w:color w:val="auto"/>
          <w:highlight w:val="none"/>
        </w:rPr>
        <w:t>模块化建筑的数据资料宜能通过搜索技术实现数据结构化查找，并宜通过接口组装技术，方便业务端数据调取应用。</w:t>
      </w:r>
    </w:p>
    <w:p>
      <w:pPr>
        <w:numPr>
          <w:ilvl w:val="0"/>
          <w:numId w:val="41"/>
        </w:numPr>
        <w:rPr>
          <w:color w:val="auto"/>
          <w:highlight w:val="none"/>
        </w:rPr>
      </w:pPr>
      <w:r>
        <w:rPr>
          <w:rFonts w:hint="eastAsia" w:ascii="宋体" w:hAnsi="宋体"/>
          <w:color w:val="auto"/>
          <w:highlight w:val="none"/>
        </w:rPr>
        <w:t>模块化建筑宜能应用算法和组件，灵活搭建数据模型，进行运维指标量化和数据分析；</w:t>
      </w:r>
    </w:p>
    <w:p>
      <w:pPr>
        <w:rPr>
          <w:color w:val="auto"/>
          <w:highlight w:val="none"/>
        </w:rPr>
      </w:pPr>
      <w:r>
        <w:rPr>
          <w:rFonts w:hint="eastAsia" w:ascii="宋体" w:hAnsi="宋体"/>
          <w:color w:val="auto"/>
          <w:highlight w:val="none"/>
        </w:rPr>
        <w:t>并宜通过数据模型全面预测、评价、优化运维业务，实现运维指导。</w:t>
      </w:r>
    </w:p>
    <w:p>
      <w:pPr>
        <w:rPr>
          <w:bCs/>
          <w:color w:val="auto"/>
          <w:highlight w:val="none"/>
        </w:rPr>
        <w:sectPr>
          <w:pgSz w:w="11906" w:h="16838"/>
          <w:pgMar w:top="1610" w:right="1349" w:bottom="1213" w:left="1293" w:header="851" w:footer="992" w:gutter="0"/>
          <w:cols w:space="720" w:num="1"/>
          <w:docGrid w:type="linesAndChars" w:linePitch="333" w:charSpace="2165"/>
        </w:sectPr>
      </w:pPr>
    </w:p>
    <w:p>
      <w:pPr>
        <w:pStyle w:val="2"/>
        <w:rPr>
          <w:b/>
          <w:bCs w:val="0"/>
          <w:color w:val="auto"/>
          <w:highlight w:val="none"/>
        </w:rPr>
      </w:pPr>
      <w:bookmarkStart w:id="1651" w:name="_Toc3822"/>
      <w:bookmarkStart w:id="1652" w:name="_Toc382"/>
      <w:bookmarkStart w:id="1653" w:name="_Toc30162"/>
      <w:bookmarkStart w:id="1654" w:name="_Toc23768"/>
      <w:bookmarkStart w:id="1655" w:name="_Toc16895"/>
      <w:bookmarkStart w:id="1656" w:name="_Toc30422"/>
      <w:bookmarkStart w:id="1657" w:name="_Toc31445"/>
      <w:bookmarkStart w:id="1658" w:name="_Toc25826"/>
      <w:bookmarkStart w:id="1659" w:name="_Toc17057"/>
      <w:bookmarkStart w:id="1660" w:name="_Toc16547"/>
      <w:bookmarkStart w:id="1661" w:name="_Toc19028"/>
      <w:bookmarkStart w:id="1662" w:name="_Toc19436"/>
      <w:bookmarkStart w:id="1663" w:name="_Toc1616"/>
      <w:bookmarkStart w:id="1664" w:name="_Toc15130"/>
      <w:bookmarkStart w:id="1665" w:name="_Toc11959"/>
      <w:bookmarkStart w:id="1666" w:name="_Toc5502"/>
      <w:bookmarkStart w:id="1667" w:name="_Hlk184741094"/>
      <w:bookmarkStart w:id="1668" w:name="_Toc30633"/>
      <w:bookmarkStart w:id="1669" w:name="_Toc3144"/>
      <w:bookmarkStart w:id="1670" w:name="_Toc10614"/>
      <w:bookmarkStart w:id="1671" w:name="_Toc17237"/>
      <w:bookmarkStart w:id="1672" w:name="_Toc6558"/>
      <w:bookmarkStart w:id="1673" w:name="_Toc19755"/>
      <w:bookmarkStart w:id="1674" w:name="_Toc30206"/>
      <w:bookmarkStart w:id="1675" w:name="_Toc110958516"/>
      <w:bookmarkStart w:id="1676" w:name="_Toc110952748"/>
      <w:bookmarkStart w:id="1677" w:name="_Toc2723"/>
      <w:bookmarkStart w:id="1678" w:name="_Toc9155"/>
      <w:bookmarkStart w:id="1679" w:name="_Toc82523981"/>
      <w:bookmarkStart w:id="1680" w:name="_Toc9534"/>
      <w:bookmarkStart w:id="1681" w:name="_Toc267"/>
      <w:bookmarkStart w:id="1682" w:name="_Toc93998976"/>
      <w:bookmarkStart w:id="1683" w:name="_Toc93999737"/>
      <w:bookmarkStart w:id="1684" w:name="_Toc6535"/>
      <w:bookmarkStart w:id="1685" w:name="_Toc24663"/>
      <w:bookmarkStart w:id="1686" w:name="_Toc16082"/>
      <w:bookmarkStart w:id="1687" w:name="_Toc16587"/>
      <w:bookmarkStart w:id="1688" w:name="_Toc7276"/>
      <w:bookmarkStart w:id="1689" w:name="_Toc215"/>
      <w:bookmarkStart w:id="1690" w:name="_Toc32324"/>
      <w:bookmarkStart w:id="1691" w:name="_Toc8852"/>
      <w:r>
        <w:rPr>
          <w:rFonts w:hint="eastAsia"/>
          <w:b/>
          <w:bCs w:val="0"/>
          <w:color w:val="auto"/>
          <w:highlight w:val="none"/>
        </w:rPr>
        <w:t>附录A</w:t>
      </w:r>
      <w:r>
        <w:rPr>
          <w:b/>
          <w:bCs w:val="0"/>
          <w:color w:val="auto"/>
          <w:highlight w:val="none"/>
        </w:rPr>
        <w:t xml:space="preserve">  </w:t>
      </w:r>
      <w:r>
        <w:rPr>
          <w:rFonts w:hint="eastAsia"/>
          <w:b/>
          <w:bCs w:val="0"/>
          <w:color w:val="auto"/>
          <w:highlight w:val="none"/>
        </w:rPr>
        <w:t>模块出厂质量证明文件</w:t>
      </w:r>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p>
    <w:p>
      <w:pPr>
        <w:tabs>
          <w:tab w:val="left" w:pos="0"/>
        </w:tabs>
        <w:rPr>
          <w:bCs/>
          <w:color w:val="auto"/>
          <w:highlight w:val="none"/>
        </w:rPr>
      </w:pPr>
      <w:r>
        <w:rPr>
          <w:rFonts w:hint="eastAsia"/>
          <w:bCs/>
          <w:color w:val="auto"/>
          <w:highlight w:val="none"/>
        </w:rPr>
        <w:t>出厂质量证明文件如下：</w:t>
      </w:r>
    </w:p>
    <w:p>
      <w:pPr>
        <w:tabs>
          <w:tab w:val="left" w:pos="0"/>
        </w:tabs>
        <w:ind w:firstLine="440" w:firstLineChars="200"/>
        <w:rPr>
          <w:bCs/>
          <w:color w:val="auto"/>
          <w:highlight w:val="none"/>
        </w:rPr>
      </w:pPr>
      <w:r>
        <w:rPr>
          <w:rFonts w:hint="eastAsia"/>
          <w:b/>
          <w:color w:val="auto"/>
          <w:highlight w:val="none"/>
        </w:rPr>
        <w:t>A</w:t>
      </w:r>
      <w:r>
        <w:rPr>
          <w:rFonts w:hint="eastAsia" w:ascii="仿宋" w:hAnsi="仿宋" w:eastAsia="仿宋" w:cs="仿宋"/>
          <w:b/>
          <w:color w:val="auto"/>
          <w:highlight w:val="none"/>
        </w:rPr>
        <w:t>.0.</w:t>
      </w:r>
      <w:r>
        <w:rPr>
          <w:rFonts w:hint="eastAsia"/>
          <w:b/>
          <w:color w:val="auto"/>
          <w:highlight w:val="none"/>
        </w:rPr>
        <w:t xml:space="preserve">1  </w:t>
      </w:r>
      <w:r>
        <w:rPr>
          <w:rFonts w:hint="eastAsia"/>
          <w:bCs/>
          <w:color w:val="auto"/>
          <w:highlight w:val="none"/>
        </w:rPr>
        <w:t>模块单元产品合格证</w:t>
      </w:r>
    </w:p>
    <w:p>
      <w:pPr>
        <w:tabs>
          <w:tab w:val="left" w:pos="0"/>
        </w:tabs>
        <w:ind w:firstLine="440" w:firstLineChars="200"/>
        <w:rPr>
          <w:bCs/>
          <w:color w:val="auto"/>
          <w:highlight w:val="none"/>
        </w:rPr>
      </w:pPr>
      <w:r>
        <w:rPr>
          <w:rFonts w:hint="eastAsia"/>
          <w:b/>
          <w:color w:val="auto"/>
          <w:highlight w:val="none"/>
        </w:rPr>
        <w:t>A</w:t>
      </w:r>
      <w:r>
        <w:rPr>
          <w:rFonts w:hint="eastAsia" w:ascii="仿宋" w:hAnsi="仿宋" w:eastAsia="仿宋" w:cs="仿宋"/>
          <w:b/>
          <w:color w:val="auto"/>
          <w:highlight w:val="none"/>
        </w:rPr>
        <w:t>.0.</w:t>
      </w:r>
      <w:r>
        <w:rPr>
          <w:rFonts w:hint="eastAsia"/>
          <w:b/>
          <w:color w:val="auto"/>
          <w:highlight w:val="none"/>
        </w:rPr>
        <w:t xml:space="preserve">2  </w:t>
      </w:r>
      <w:r>
        <w:rPr>
          <w:rFonts w:hint="eastAsia"/>
          <w:bCs/>
          <w:color w:val="auto"/>
          <w:highlight w:val="none"/>
        </w:rPr>
        <w:t>模块单元模具质量验收记录表</w:t>
      </w:r>
    </w:p>
    <w:p>
      <w:pPr>
        <w:tabs>
          <w:tab w:val="left" w:pos="0"/>
        </w:tabs>
        <w:ind w:firstLine="440" w:firstLineChars="200"/>
        <w:rPr>
          <w:bCs/>
          <w:color w:val="auto"/>
          <w:highlight w:val="none"/>
        </w:rPr>
      </w:pPr>
      <w:r>
        <w:rPr>
          <w:rFonts w:hint="eastAsia"/>
          <w:b/>
          <w:color w:val="auto"/>
          <w:highlight w:val="none"/>
        </w:rPr>
        <w:t>A</w:t>
      </w:r>
      <w:r>
        <w:rPr>
          <w:rFonts w:hint="eastAsia" w:ascii="仿宋" w:hAnsi="仿宋" w:eastAsia="仿宋" w:cs="仿宋"/>
          <w:b/>
          <w:color w:val="auto"/>
          <w:highlight w:val="none"/>
        </w:rPr>
        <w:t>.0.</w:t>
      </w:r>
      <w:r>
        <w:rPr>
          <w:rFonts w:hint="eastAsia"/>
          <w:b/>
          <w:color w:val="auto"/>
          <w:highlight w:val="none"/>
        </w:rPr>
        <w:t xml:space="preserve">3  </w:t>
      </w:r>
      <w:r>
        <w:rPr>
          <w:rFonts w:hint="eastAsia"/>
          <w:bCs/>
          <w:color w:val="auto"/>
          <w:highlight w:val="none"/>
        </w:rPr>
        <w:t>模块单元钢筋、预埋件质量验收记录表</w:t>
      </w:r>
    </w:p>
    <w:p>
      <w:pPr>
        <w:tabs>
          <w:tab w:val="left" w:pos="0"/>
        </w:tabs>
        <w:ind w:firstLine="440" w:firstLineChars="200"/>
        <w:rPr>
          <w:bCs/>
          <w:color w:val="auto"/>
          <w:highlight w:val="none"/>
        </w:rPr>
      </w:pPr>
      <w:r>
        <w:rPr>
          <w:rFonts w:hint="eastAsia"/>
          <w:b/>
          <w:color w:val="auto"/>
          <w:highlight w:val="none"/>
        </w:rPr>
        <w:t>A</w:t>
      </w:r>
      <w:r>
        <w:rPr>
          <w:rFonts w:hint="eastAsia" w:ascii="仿宋" w:hAnsi="仿宋" w:eastAsia="仿宋" w:cs="仿宋"/>
          <w:b/>
          <w:color w:val="auto"/>
          <w:highlight w:val="none"/>
        </w:rPr>
        <w:t>.0.</w:t>
      </w:r>
      <w:r>
        <w:rPr>
          <w:rFonts w:hint="eastAsia"/>
          <w:b/>
          <w:color w:val="auto"/>
          <w:highlight w:val="none"/>
        </w:rPr>
        <w:t xml:space="preserve">4  </w:t>
      </w:r>
      <w:r>
        <w:rPr>
          <w:rFonts w:hint="eastAsia"/>
          <w:bCs/>
          <w:color w:val="auto"/>
          <w:highlight w:val="none"/>
        </w:rPr>
        <w:t>模块单元混凝土质量验收记录表</w:t>
      </w:r>
    </w:p>
    <w:p>
      <w:pPr>
        <w:tabs>
          <w:tab w:val="left" w:pos="0"/>
        </w:tabs>
        <w:ind w:firstLine="440" w:firstLineChars="200"/>
        <w:rPr>
          <w:bCs/>
          <w:color w:val="auto"/>
          <w:highlight w:val="none"/>
        </w:rPr>
      </w:pPr>
      <w:r>
        <w:rPr>
          <w:rFonts w:hint="eastAsia"/>
          <w:b/>
          <w:color w:val="auto"/>
          <w:highlight w:val="none"/>
        </w:rPr>
        <w:t>A</w:t>
      </w:r>
      <w:r>
        <w:rPr>
          <w:rFonts w:hint="eastAsia" w:ascii="仿宋" w:hAnsi="仿宋" w:eastAsia="仿宋" w:cs="仿宋"/>
          <w:b/>
          <w:color w:val="auto"/>
          <w:highlight w:val="none"/>
        </w:rPr>
        <w:t>.0.</w:t>
      </w:r>
      <w:r>
        <w:rPr>
          <w:rFonts w:hint="eastAsia"/>
          <w:b/>
          <w:color w:val="auto"/>
          <w:highlight w:val="none"/>
        </w:rPr>
        <w:t xml:space="preserve">5  </w:t>
      </w:r>
      <w:r>
        <w:rPr>
          <w:rFonts w:hint="eastAsia"/>
          <w:bCs/>
          <w:color w:val="auto"/>
          <w:highlight w:val="none"/>
        </w:rPr>
        <w:t>模块单元装饰与装修质量验收记录表</w:t>
      </w:r>
    </w:p>
    <w:p>
      <w:pPr>
        <w:tabs>
          <w:tab w:val="left" w:pos="0"/>
        </w:tabs>
        <w:ind w:firstLine="440" w:firstLineChars="200"/>
        <w:rPr>
          <w:bCs/>
          <w:color w:val="auto"/>
          <w:highlight w:val="none"/>
        </w:rPr>
      </w:pPr>
      <w:r>
        <w:rPr>
          <w:rFonts w:hint="eastAsia"/>
          <w:b/>
          <w:color w:val="auto"/>
          <w:highlight w:val="none"/>
        </w:rPr>
        <w:t>A</w:t>
      </w:r>
      <w:r>
        <w:rPr>
          <w:rFonts w:hint="eastAsia" w:ascii="仿宋" w:hAnsi="仿宋" w:eastAsia="仿宋" w:cs="仿宋"/>
          <w:b/>
          <w:color w:val="auto"/>
          <w:highlight w:val="none"/>
        </w:rPr>
        <w:t>.0.</w:t>
      </w:r>
      <w:r>
        <w:rPr>
          <w:rFonts w:hint="eastAsia"/>
          <w:b/>
          <w:color w:val="auto"/>
          <w:highlight w:val="none"/>
        </w:rPr>
        <w:t xml:space="preserve">6  </w:t>
      </w:r>
      <w:r>
        <w:rPr>
          <w:rFonts w:hint="eastAsia"/>
          <w:bCs/>
          <w:color w:val="auto"/>
          <w:highlight w:val="none"/>
        </w:rPr>
        <w:t>模块单元机电质量验收记录表</w:t>
      </w:r>
    </w:p>
    <w:p>
      <w:pPr>
        <w:widowControl/>
        <w:tabs>
          <w:tab w:val="left" w:pos="0"/>
        </w:tabs>
        <w:ind w:firstLine="440" w:firstLineChars="200"/>
        <w:jc w:val="left"/>
        <w:rPr>
          <w:bCs/>
          <w:color w:val="auto"/>
          <w:highlight w:val="none"/>
          <w:lang w:bidi="ar"/>
        </w:rPr>
      </w:pPr>
      <w:r>
        <w:rPr>
          <w:rFonts w:hint="eastAsia"/>
          <w:b/>
          <w:color w:val="auto"/>
          <w:highlight w:val="none"/>
        </w:rPr>
        <w:t>A</w:t>
      </w:r>
      <w:r>
        <w:rPr>
          <w:rFonts w:hint="eastAsia" w:ascii="仿宋" w:hAnsi="仿宋" w:eastAsia="仿宋" w:cs="仿宋"/>
          <w:b/>
          <w:color w:val="auto"/>
          <w:highlight w:val="none"/>
        </w:rPr>
        <w:t>.0.</w:t>
      </w:r>
      <w:r>
        <w:rPr>
          <w:rFonts w:hint="eastAsia"/>
          <w:b/>
          <w:color w:val="auto"/>
          <w:highlight w:val="none"/>
        </w:rPr>
        <w:t xml:space="preserve">7  </w:t>
      </w:r>
      <w:r>
        <w:rPr>
          <w:rFonts w:hint="eastAsia"/>
          <w:bCs/>
          <w:color w:val="auto"/>
          <w:highlight w:val="none"/>
        </w:rPr>
        <w:t>模块单元吊装及预拼装质量验收记录表</w:t>
      </w:r>
    </w:p>
    <w:p>
      <w:pPr>
        <w:adjustRightInd w:val="0"/>
        <w:snapToGrid w:val="0"/>
        <w:rPr>
          <w:color w:val="auto"/>
          <w:highlight w:val="none"/>
        </w:rPr>
      </w:pPr>
    </w:p>
    <w:p>
      <w:pPr>
        <w:adjustRightInd w:val="0"/>
        <w:snapToGrid w:val="0"/>
        <w:rPr>
          <w:color w:val="auto"/>
          <w:highlight w:val="none"/>
        </w:rPr>
        <w:sectPr>
          <w:pgSz w:w="11906" w:h="16838"/>
          <w:pgMar w:top="1610" w:right="1349" w:bottom="1213" w:left="1293" w:header="851" w:footer="992" w:gutter="0"/>
          <w:cols w:space="720" w:num="1"/>
          <w:docGrid w:type="linesAndChars" w:linePitch="333" w:charSpace="2165"/>
        </w:sectPr>
      </w:pPr>
    </w:p>
    <w:p>
      <w:pPr>
        <w:pStyle w:val="4"/>
        <w:spacing w:before="240" w:beforeLines="100" w:after="240" w:afterLines="100"/>
        <w:jc w:val="center"/>
        <w:rPr>
          <w:rFonts w:hint="eastAsia" w:ascii="Times New Roman" w:hAnsi="Times New Roman" w:cs="Times New Roman"/>
          <w:color w:val="auto"/>
          <w:sz w:val="21"/>
          <w:szCs w:val="32"/>
          <w:highlight w:val="none"/>
        </w:rPr>
      </w:pPr>
      <w:bookmarkStart w:id="1692" w:name="_Toc13437"/>
      <w:r>
        <w:rPr>
          <w:rFonts w:hint="eastAsia"/>
          <w:b w:val="0"/>
          <w:bCs/>
          <w:color w:val="auto"/>
          <w:sz w:val="21"/>
          <w:szCs w:val="32"/>
          <w:highlight w:val="none"/>
        </w:rPr>
        <w:t>A</w:t>
      </w:r>
      <w:r>
        <w:rPr>
          <w:rFonts w:hint="eastAsia" w:ascii="Times New Roman" w:hAnsi="Times New Roman" w:eastAsia="黑体" w:cs="Times New Roman"/>
          <w:b w:val="0"/>
          <w:bCs/>
          <w:color w:val="auto"/>
          <w:sz w:val="21"/>
          <w:szCs w:val="32"/>
          <w:highlight w:val="none"/>
        </w:rPr>
        <w:t>.0.</w:t>
      </w:r>
      <w:r>
        <w:rPr>
          <w:rFonts w:hint="eastAsia"/>
          <w:b w:val="0"/>
          <w:bCs/>
          <w:color w:val="auto"/>
          <w:sz w:val="21"/>
          <w:szCs w:val="32"/>
          <w:highlight w:val="none"/>
        </w:rPr>
        <w:t>1</w:t>
      </w:r>
      <w:r>
        <w:rPr>
          <w:rFonts w:hint="eastAsia" w:ascii="Times New Roman" w:hAnsi="Times New Roman" w:cs="Times New Roman"/>
          <w:color w:val="auto"/>
          <w:sz w:val="21"/>
          <w:szCs w:val="32"/>
          <w:highlight w:val="none"/>
        </w:rPr>
        <w:t xml:space="preserve">  模块单元出厂合格证</w:t>
      </w:r>
      <w:bookmarkEnd w:id="1692"/>
    </w:p>
    <w:p>
      <w:pPr>
        <w:autoSpaceDE w:val="0"/>
        <w:autoSpaceDN w:val="0"/>
        <w:adjustRightInd w:val="0"/>
        <w:ind w:left="190"/>
        <w:jc w:val="center"/>
        <w:rPr>
          <w:rFonts w:eastAsia="仿宋"/>
          <w:b/>
          <w:bCs/>
          <w:color w:val="auto"/>
          <w:kern w:val="0"/>
          <w:szCs w:val="24"/>
          <w:highlight w:val="none"/>
        </w:rPr>
      </w:pPr>
      <w:r>
        <w:rPr>
          <w:rFonts w:eastAsia="仿宋"/>
          <w:b/>
          <w:bCs/>
          <w:color w:val="auto"/>
          <w:spacing w:val="0"/>
          <w:kern w:val="0"/>
          <w:szCs w:val="24"/>
          <w:highlight w:val="none"/>
        </w:rPr>
        <w:t>表A</w:t>
      </w:r>
      <w:r>
        <w:rPr>
          <w:rFonts w:hint="default" w:ascii="Times New Roman" w:hAnsi="Times New Roman" w:eastAsia="仿宋" w:cs="Times New Roman"/>
          <w:b/>
          <w:bCs/>
          <w:color w:val="auto"/>
          <w:spacing w:val="0"/>
          <w:kern w:val="0"/>
          <w:szCs w:val="24"/>
          <w:highlight w:val="none"/>
        </w:rPr>
        <w:t>.0.</w:t>
      </w:r>
      <w:r>
        <w:rPr>
          <w:rFonts w:eastAsia="仿宋"/>
          <w:b/>
          <w:bCs/>
          <w:color w:val="auto"/>
          <w:spacing w:val="0"/>
          <w:kern w:val="0"/>
          <w:szCs w:val="24"/>
          <w:highlight w:val="none"/>
        </w:rPr>
        <w:t>1    模块单元出厂合格证（范本）</w:t>
      </w:r>
    </w:p>
    <w:p>
      <w:pPr>
        <w:spacing w:line="40" w:lineRule="exact"/>
        <w:rPr>
          <w:color w:val="auto"/>
          <w:highlight w:val="none"/>
        </w:rPr>
      </w:pPr>
    </w:p>
    <w:tbl>
      <w:tblPr>
        <w:tblStyle w:val="24"/>
        <w:tblW w:w="1420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09"/>
        <w:gridCol w:w="1531"/>
        <w:gridCol w:w="2476"/>
        <w:gridCol w:w="2249"/>
        <w:gridCol w:w="444"/>
        <w:gridCol w:w="42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3209" w:type="dxa"/>
            <w:tcBorders>
              <w:top w:val="single" w:color="000000" w:sz="10" w:space="0"/>
              <w:left w:val="single" w:color="000000" w:sz="10" w:space="0"/>
            </w:tcBorders>
            <w:vAlign w:val="center"/>
          </w:tcPr>
          <w:p>
            <w:pPr>
              <w:jc w:val="center"/>
              <w:rPr>
                <w:rFonts w:eastAsia="仿宋"/>
                <w:color w:val="auto"/>
                <w:szCs w:val="21"/>
                <w:highlight w:val="none"/>
              </w:rPr>
            </w:pPr>
            <w:r>
              <w:rPr>
                <w:rFonts w:eastAsia="仿宋"/>
                <w:color w:val="auto"/>
                <w:spacing w:val="1"/>
                <w:szCs w:val="21"/>
                <w:highlight w:val="none"/>
              </w:rPr>
              <w:t>工程名称</w:t>
            </w:r>
          </w:p>
        </w:tc>
        <w:tc>
          <w:tcPr>
            <w:tcW w:w="10998" w:type="dxa"/>
            <w:gridSpan w:val="5"/>
            <w:tcBorders>
              <w:top w:val="single" w:color="000000" w:sz="10" w:space="0"/>
              <w:right w:val="single" w:color="000000" w:sz="10" w:space="0"/>
            </w:tcBorders>
            <w:vAlign w:val="center"/>
          </w:tcPr>
          <w:p>
            <w:pPr>
              <w:jc w:val="center"/>
              <w:rPr>
                <w:rFonts w:eastAsia="仿宋"/>
                <w:color w:val="auto"/>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jc w:val="center"/>
        </w:trPr>
        <w:tc>
          <w:tcPr>
            <w:tcW w:w="3209" w:type="dxa"/>
            <w:tcBorders>
              <w:left w:val="single" w:color="000000" w:sz="10" w:space="0"/>
            </w:tcBorders>
            <w:vAlign w:val="center"/>
          </w:tcPr>
          <w:p>
            <w:pPr>
              <w:jc w:val="center"/>
              <w:rPr>
                <w:rFonts w:eastAsia="仿宋"/>
                <w:color w:val="auto"/>
                <w:szCs w:val="21"/>
                <w:highlight w:val="none"/>
              </w:rPr>
            </w:pPr>
            <w:r>
              <w:rPr>
                <w:rFonts w:eastAsia="仿宋"/>
                <w:color w:val="auto"/>
                <w:spacing w:val="1"/>
                <w:szCs w:val="21"/>
                <w:highlight w:val="none"/>
              </w:rPr>
              <w:t>制造日期</w:t>
            </w:r>
          </w:p>
        </w:tc>
        <w:tc>
          <w:tcPr>
            <w:tcW w:w="4007" w:type="dxa"/>
            <w:gridSpan w:val="2"/>
            <w:vAlign w:val="center"/>
          </w:tcPr>
          <w:p>
            <w:pPr>
              <w:jc w:val="center"/>
              <w:rPr>
                <w:rFonts w:eastAsia="仿宋"/>
                <w:color w:val="auto"/>
                <w:szCs w:val="21"/>
                <w:highlight w:val="none"/>
              </w:rPr>
            </w:pPr>
          </w:p>
        </w:tc>
        <w:tc>
          <w:tcPr>
            <w:tcW w:w="2693" w:type="dxa"/>
            <w:gridSpan w:val="2"/>
            <w:vAlign w:val="center"/>
          </w:tcPr>
          <w:p>
            <w:pPr>
              <w:jc w:val="center"/>
              <w:rPr>
                <w:rFonts w:eastAsia="仿宋"/>
                <w:color w:val="auto"/>
                <w:szCs w:val="21"/>
                <w:highlight w:val="none"/>
              </w:rPr>
            </w:pPr>
            <w:r>
              <w:rPr>
                <w:rFonts w:eastAsia="仿宋"/>
                <w:color w:val="auto"/>
                <w:szCs w:val="21"/>
                <w:highlight w:val="none"/>
              </w:rPr>
              <w:t>发货日期</w:t>
            </w:r>
          </w:p>
        </w:tc>
        <w:tc>
          <w:tcPr>
            <w:tcW w:w="4298" w:type="dxa"/>
            <w:tcBorders>
              <w:right w:val="single" w:color="000000" w:sz="10" w:space="0"/>
            </w:tcBorders>
            <w:vAlign w:val="center"/>
          </w:tcPr>
          <w:p>
            <w:pPr>
              <w:jc w:val="center"/>
              <w:rPr>
                <w:rFonts w:eastAsia="仿宋"/>
                <w:color w:val="auto"/>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jc w:val="center"/>
        </w:trPr>
        <w:tc>
          <w:tcPr>
            <w:tcW w:w="3209" w:type="dxa"/>
            <w:tcBorders>
              <w:left w:val="single" w:color="000000" w:sz="10" w:space="0"/>
            </w:tcBorders>
            <w:vAlign w:val="center"/>
          </w:tcPr>
          <w:p>
            <w:pPr>
              <w:jc w:val="center"/>
              <w:rPr>
                <w:rFonts w:eastAsia="仿宋"/>
                <w:color w:val="auto"/>
                <w:szCs w:val="21"/>
                <w:highlight w:val="none"/>
              </w:rPr>
            </w:pPr>
            <w:r>
              <w:rPr>
                <w:rFonts w:eastAsia="仿宋"/>
                <w:color w:val="auto"/>
                <w:spacing w:val="3"/>
                <w:szCs w:val="21"/>
                <w:highlight w:val="none"/>
              </w:rPr>
              <w:t>产品编号</w:t>
            </w:r>
          </w:p>
        </w:tc>
        <w:tc>
          <w:tcPr>
            <w:tcW w:w="4007" w:type="dxa"/>
            <w:gridSpan w:val="2"/>
            <w:vAlign w:val="center"/>
          </w:tcPr>
          <w:p>
            <w:pPr>
              <w:jc w:val="center"/>
              <w:rPr>
                <w:rFonts w:eastAsia="仿宋"/>
                <w:color w:val="auto"/>
                <w:szCs w:val="21"/>
                <w:highlight w:val="none"/>
              </w:rPr>
            </w:pPr>
          </w:p>
        </w:tc>
        <w:tc>
          <w:tcPr>
            <w:tcW w:w="2693" w:type="dxa"/>
            <w:gridSpan w:val="2"/>
            <w:vAlign w:val="center"/>
          </w:tcPr>
          <w:p>
            <w:pPr>
              <w:jc w:val="center"/>
              <w:rPr>
                <w:rFonts w:eastAsia="仿宋"/>
                <w:color w:val="auto"/>
                <w:szCs w:val="21"/>
                <w:highlight w:val="none"/>
              </w:rPr>
            </w:pPr>
            <w:r>
              <w:rPr>
                <w:rFonts w:eastAsia="仿宋"/>
                <w:color w:val="auto"/>
                <w:spacing w:val="-3"/>
                <w:szCs w:val="21"/>
                <w:highlight w:val="none"/>
              </w:rPr>
              <w:t>规格</w:t>
            </w:r>
          </w:p>
        </w:tc>
        <w:tc>
          <w:tcPr>
            <w:tcW w:w="4298" w:type="dxa"/>
            <w:tcBorders>
              <w:right w:val="single" w:color="000000" w:sz="10" w:space="0"/>
            </w:tcBorders>
            <w:vAlign w:val="center"/>
          </w:tcPr>
          <w:p>
            <w:pPr>
              <w:rPr>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jc w:val="center"/>
        </w:trPr>
        <w:tc>
          <w:tcPr>
            <w:tcW w:w="3209" w:type="dxa"/>
            <w:tcBorders>
              <w:left w:val="single" w:color="000000" w:sz="10" w:space="0"/>
            </w:tcBorders>
            <w:vAlign w:val="center"/>
          </w:tcPr>
          <w:p>
            <w:pPr>
              <w:jc w:val="center"/>
              <w:rPr>
                <w:rFonts w:eastAsia="仿宋"/>
                <w:color w:val="auto"/>
                <w:szCs w:val="21"/>
                <w:highlight w:val="none"/>
              </w:rPr>
            </w:pPr>
            <w:r>
              <w:rPr>
                <w:rFonts w:eastAsia="仿宋"/>
                <w:color w:val="auto"/>
                <w:spacing w:val="4"/>
                <w:szCs w:val="21"/>
                <w:highlight w:val="none"/>
              </w:rPr>
              <w:t>模块单元编号</w:t>
            </w:r>
          </w:p>
        </w:tc>
        <w:tc>
          <w:tcPr>
            <w:tcW w:w="4007" w:type="dxa"/>
            <w:gridSpan w:val="2"/>
            <w:vAlign w:val="center"/>
          </w:tcPr>
          <w:p>
            <w:pPr>
              <w:jc w:val="center"/>
              <w:rPr>
                <w:rFonts w:eastAsia="仿宋"/>
                <w:color w:val="auto"/>
                <w:szCs w:val="21"/>
                <w:highlight w:val="none"/>
              </w:rPr>
            </w:pPr>
          </w:p>
        </w:tc>
        <w:tc>
          <w:tcPr>
            <w:tcW w:w="2693" w:type="dxa"/>
            <w:gridSpan w:val="2"/>
            <w:vAlign w:val="center"/>
          </w:tcPr>
          <w:p>
            <w:pPr>
              <w:jc w:val="center"/>
              <w:rPr>
                <w:rFonts w:eastAsia="仿宋"/>
                <w:color w:val="auto"/>
                <w:szCs w:val="21"/>
                <w:highlight w:val="none"/>
              </w:rPr>
            </w:pPr>
            <w:r>
              <w:rPr>
                <w:rFonts w:hint="eastAsia" w:eastAsia="仿宋"/>
                <w:color w:val="auto"/>
                <w:szCs w:val="21"/>
                <w:highlight w:val="none"/>
              </w:rPr>
              <w:t>单重（t）</w:t>
            </w:r>
          </w:p>
        </w:tc>
        <w:tc>
          <w:tcPr>
            <w:tcW w:w="4298" w:type="dxa"/>
            <w:tcBorders>
              <w:right w:val="single" w:color="000000" w:sz="10" w:space="0"/>
            </w:tcBorders>
            <w:vAlign w:val="center"/>
          </w:tcPr>
          <w:p>
            <w:pPr>
              <w:jc w:val="center"/>
              <w:rPr>
                <w:rFonts w:eastAsia="仿宋"/>
                <w:color w:val="auto"/>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5" w:hRule="atLeast"/>
          <w:jc w:val="center"/>
        </w:trPr>
        <w:tc>
          <w:tcPr>
            <w:tcW w:w="14207" w:type="dxa"/>
            <w:gridSpan w:val="6"/>
            <w:tcBorders>
              <w:left w:val="single" w:color="000000" w:sz="10" w:space="0"/>
              <w:bottom w:val="single" w:color="auto" w:sz="4" w:space="0"/>
              <w:right w:val="single" w:color="000000" w:sz="10" w:space="0"/>
            </w:tcBorders>
          </w:tcPr>
          <w:p>
            <w:pPr>
              <w:spacing w:before="67" w:line="227" w:lineRule="auto"/>
              <w:ind w:left="239"/>
              <w:rPr>
                <w:rFonts w:eastAsia="仿宋"/>
                <w:color w:val="auto"/>
                <w:szCs w:val="21"/>
                <w:highlight w:val="none"/>
              </w:rPr>
            </w:pPr>
            <w:r>
              <w:rPr>
                <w:rFonts w:eastAsia="仿宋"/>
                <w:color w:val="auto"/>
                <w:spacing w:val="1"/>
                <w:szCs w:val="21"/>
                <w:highlight w:val="none"/>
              </w:rPr>
              <w:t>附件：</w:t>
            </w:r>
          </w:p>
          <w:p>
            <w:pPr>
              <w:pStyle w:val="79"/>
              <w:spacing w:before="87" w:line="228" w:lineRule="auto"/>
              <w:ind w:left="432"/>
              <w:rPr>
                <w:rFonts w:eastAsia="仿宋"/>
                <w:color w:val="auto"/>
                <w:sz w:val="21"/>
                <w:szCs w:val="21"/>
                <w:highlight w:val="none"/>
                <w:lang w:eastAsia="zh-CN"/>
              </w:rPr>
            </w:pPr>
            <w:r>
              <w:rPr>
                <w:rFonts w:eastAsia="仿宋"/>
                <w:b/>
                <w:bCs/>
                <w:color w:val="auto"/>
                <w:spacing w:val="15"/>
                <w:sz w:val="21"/>
                <w:szCs w:val="21"/>
                <w:highlight w:val="none"/>
                <w:lang w:eastAsia="zh-CN"/>
              </w:rPr>
              <w:t>A.</w:t>
            </w:r>
            <w:r>
              <w:rPr>
                <w:rFonts w:hint="eastAsia" w:eastAsia="仿宋"/>
                <w:b/>
                <w:bCs/>
                <w:color w:val="auto"/>
                <w:spacing w:val="15"/>
                <w:sz w:val="21"/>
                <w:szCs w:val="21"/>
                <w:highlight w:val="none"/>
                <w:lang w:eastAsia="zh-CN"/>
              </w:rPr>
              <w:t>0.</w:t>
            </w:r>
            <w:r>
              <w:rPr>
                <w:rFonts w:eastAsia="仿宋"/>
                <w:b/>
                <w:bCs/>
                <w:color w:val="auto"/>
                <w:spacing w:val="15"/>
                <w:sz w:val="21"/>
                <w:szCs w:val="21"/>
                <w:highlight w:val="none"/>
                <w:lang w:eastAsia="zh-CN"/>
              </w:rPr>
              <w:t>2</w:t>
            </w:r>
            <w:r>
              <w:rPr>
                <w:rFonts w:eastAsia="仿宋"/>
                <w:b/>
                <w:bCs/>
                <w:color w:val="auto"/>
                <w:spacing w:val="14"/>
                <w:w w:val="101"/>
                <w:sz w:val="21"/>
                <w:szCs w:val="21"/>
                <w:highlight w:val="none"/>
                <w:lang w:eastAsia="zh-CN"/>
              </w:rPr>
              <w:t xml:space="preserve">  </w:t>
            </w:r>
            <w:r>
              <w:rPr>
                <w:rFonts w:eastAsia="仿宋"/>
                <w:color w:val="auto"/>
                <w:spacing w:val="15"/>
                <w:sz w:val="21"/>
                <w:szCs w:val="21"/>
                <w:highlight w:val="none"/>
                <w:lang w:eastAsia="zh-CN"/>
              </w:rPr>
              <w:t>模块单元模具质量验收记录表</w:t>
            </w:r>
          </w:p>
          <w:p>
            <w:pPr>
              <w:pStyle w:val="79"/>
              <w:spacing w:before="84" w:line="228" w:lineRule="auto"/>
              <w:ind w:left="432"/>
              <w:rPr>
                <w:rFonts w:eastAsia="仿宋"/>
                <w:color w:val="auto"/>
                <w:sz w:val="21"/>
                <w:szCs w:val="21"/>
                <w:highlight w:val="none"/>
                <w:lang w:eastAsia="zh-CN"/>
              </w:rPr>
            </w:pPr>
            <w:r>
              <w:rPr>
                <w:rFonts w:eastAsia="仿宋"/>
                <w:b/>
                <w:bCs/>
                <w:color w:val="auto"/>
                <w:spacing w:val="16"/>
                <w:sz w:val="21"/>
                <w:szCs w:val="21"/>
                <w:highlight w:val="none"/>
                <w:lang w:eastAsia="zh-CN"/>
              </w:rPr>
              <w:t>A.</w:t>
            </w:r>
            <w:r>
              <w:rPr>
                <w:rFonts w:hint="eastAsia" w:eastAsia="仿宋"/>
                <w:b/>
                <w:bCs/>
                <w:color w:val="auto"/>
                <w:spacing w:val="15"/>
                <w:sz w:val="21"/>
                <w:szCs w:val="21"/>
                <w:highlight w:val="none"/>
                <w:lang w:eastAsia="zh-CN"/>
              </w:rPr>
              <w:t>0.</w:t>
            </w:r>
            <w:r>
              <w:rPr>
                <w:rFonts w:eastAsia="仿宋"/>
                <w:b/>
                <w:bCs/>
                <w:color w:val="auto"/>
                <w:spacing w:val="16"/>
                <w:sz w:val="21"/>
                <w:szCs w:val="21"/>
                <w:highlight w:val="none"/>
                <w:lang w:eastAsia="zh-CN"/>
              </w:rPr>
              <w:t xml:space="preserve">3  </w:t>
            </w:r>
            <w:r>
              <w:rPr>
                <w:rFonts w:eastAsia="仿宋"/>
                <w:color w:val="auto"/>
                <w:spacing w:val="16"/>
                <w:sz w:val="21"/>
                <w:szCs w:val="21"/>
                <w:highlight w:val="none"/>
                <w:lang w:eastAsia="zh-CN"/>
              </w:rPr>
              <w:t>模块单元钢筋质量验收记录表</w:t>
            </w:r>
          </w:p>
          <w:p>
            <w:pPr>
              <w:pStyle w:val="79"/>
              <w:spacing w:before="86" w:line="228" w:lineRule="auto"/>
              <w:ind w:left="432"/>
              <w:rPr>
                <w:rFonts w:eastAsia="仿宋"/>
                <w:color w:val="auto"/>
                <w:sz w:val="21"/>
                <w:szCs w:val="21"/>
                <w:highlight w:val="none"/>
                <w:lang w:eastAsia="zh-CN"/>
              </w:rPr>
            </w:pPr>
            <w:r>
              <w:rPr>
                <w:rFonts w:eastAsia="仿宋"/>
                <w:b/>
                <w:bCs/>
                <w:color w:val="auto"/>
                <w:spacing w:val="16"/>
                <w:sz w:val="21"/>
                <w:szCs w:val="21"/>
                <w:highlight w:val="none"/>
                <w:lang w:eastAsia="zh-CN"/>
              </w:rPr>
              <w:t>A.</w:t>
            </w:r>
            <w:r>
              <w:rPr>
                <w:rFonts w:hint="eastAsia" w:eastAsia="仿宋"/>
                <w:b/>
                <w:bCs/>
                <w:color w:val="auto"/>
                <w:spacing w:val="15"/>
                <w:sz w:val="21"/>
                <w:szCs w:val="21"/>
                <w:highlight w:val="none"/>
                <w:lang w:eastAsia="zh-CN"/>
              </w:rPr>
              <w:t>0.</w:t>
            </w:r>
            <w:r>
              <w:rPr>
                <w:rFonts w:eastAsia="仿宋"/>
                <w:b/>
                <w:bCs/>
                <w:color w:val="auto"/>
                <w:spacing w:val="16"/>
                <w:sz w:val="21"/>
                <w:szCs w:val="21"/>
                <w:highlight w:val="none"/>
                <w:lang w:eastAsia="zh-CN"/>
              </w:rPr>
              <w:t xml:space="preserve">4  </w:t>
            </w:r>
            <w:r>
              <w:rPr>
                <w:rFonts w:eastAsia="仿宋"/>
                <w:color w:val="auto"/>
                <w:spacing w:val="16"/>
                <w:sz w:val="21"/>
                <w:szCs w:val="21"/>
                <w:highlight w:val="none"/>
                <w:lang w:eastAsia="zh-CN"/>
              </w:rPr>
              <w:t>模块单元混凝土质量验收记录表</w:t>
            </w:r>
          </w:p>
          <w:p>
            <w:pPr>
              <w:pStyle w:val="79"/>
              <w:spacing w:before="86" w:line="228" w:lineRule="auto"/>
              <w:ind w:left="432"/>
              <w:rPr>
                <w:rFonts w:eastAsia="仿宋"/>
                <w:color w:val="auto"/>
                <w:sz w:val="21"/>
                <w:szCs w:val="21"/>
                <w:highlight w:val="none"/>
                <w:lang w:eastAsia="zh-CN"/>
              </w:rPr>
            </w:pPr>
            <w:r>
              <w:rPr>
                <w:rFonts w:eastAsia="仿宋"/>
                <w:b/>
                <w:bCs/>
                <w:color w:val="auto"/>
                <w:spacing w:val="17"/>
                <w:sz w:val="21"/>
                <w:szCs w:val="21"/>
                <w:highlight w:val="none"/>
                <w:lang w:eastAsia="zh-CN"/>
              </w:rPr>
              <w:t>A.</w:t>
            </w:r>
            <w:r>
              <w:rPr>
                <w:rFonts w:hint="eastAsia" w:eastAsia="仿宋"/>
                <w:b/>
                <w:bCs/>
                <w:color w:val="auto"/>
                <w:spacing w:val="15"/>
                <w:sz w:val="21"/>
                <w:szCs w:val="21"/>
                <w:highlight w:val="none"/>
                <w:lang w:eastAsia="zh-CN"/>
              </w:rPr>
              <w:t>0.</w:t>
            </w:r>
            <w:r>
              <w:rPr>
                <w:rFonts w:eastAsia="仿宋"/>
                <w:b/>
                <w:bCs/>
                <w:color w:val="auto"/>
                <w:spacing w:val="17"/>
                <w:sz w:val="21"/>
                <w:szCs w:val="21"/>
                <w:highlight w:val="none"/>
                <w:lang w:eastAsia="zh-CN"/>
              </w:rPr>
              <w:t xml:space="preserve">5  </w:t>
            </w:r>
            <w:r>
              <w:rPr>
                <w:rFonts w:eastAsia="仿宋"/>
                <w:color w:val="auto"/>
                <w:spacing w:val="17"/>
                <w:sz w:val="21"/>
                <w:szCs w:val="21"/>
                <w:highlight w:val="none"/>
                <w:lang w:eastAsia="zh-CN"/>
              </w:rPr>
              <w:t>模块单元装饰与装修质量验收</w:t>
            </w:r>
            <w:r>
              <w:rPr>
                <w:rFonts w:eastAsia="仿宋"/>
                <w:color w:val="auto"/>
                <w:spacing w:val="16"/>
                <w:sz w:val="21"/>
                <w:szCs w:val="21"/>
                <w:highlight w:val="none"/>
                <w:lang w:eastAsia="zh-CN"/>
              </w:rPr>
              <w:t>记录表</w:t>
            </w:r>
          </w:p>
          <w:p>
            <w:pPr>
              <w:pStyle w:val="79"/>
              <w:spacing w:before="87" w:line="227" w:lineRule="auto"/>
              <w:ind w:left="432"/>
              <w:rPr>
                <w:rFonts w:eastAsia="仿宋"/>
                <w:color w:val="auto"/>
                <w:sz w:val="21"/>
                <w:szCs w:val="21"/>
                <w:highlight w:val="none"/>
                <w:lang w:eastAsia="zh-CN"/>
              </w:rPr>
            </w:pPr>
            <w:r>
              <w:rPr>
                <w:rFonts w:eastAsia="仿宋"/>
                <w:b/>
                <w:bCs/>
                <w:color w:val="auto"/>
                <w:spacing w:val="16"/>
                <w:sz w:val="21"/>
                <w:szCs w:val="21"/>
                <w:highlight w:val="none"/>
                <w:lang w:eastAsia="zh-CN"/>
              </w:rPr>
              <w:t>A.</w:t>
            </w:r>
            <w:r>
              <w:rPr>
                <w:rFonts w:hint="eastAsia" w:eastAsia="仿宋"/>
                <w:b/>
                <w:bCs/>
                <w:color w:val="auto"/>
                <w:spacing w:val="15"/>
                <w:sz w:val="21"/>
                <w:szCs w:val="21"/>
                <w:highlight w:val="none"/>
                <w:lang w:eastAsia="zh-CN"/>
              </w:rPr>
              <w:t>0.</w:t>
            </w:r>
            <w:r>
              <w:rPr>
                <w:rFonts w:eastAsia="仿宋"/>
                <w:b/>
                <w:bCs/>
                <w:color w:val="auto"/>
                <w:spacing w:val="16"/>
                <w:sz w:val="21"/>
                <w:szCs w:val="21"/>
                <w:highlight w:val="none"/>
                <w:lang w:eastAsia="zh-CN"/>
              </w:rPr>
              <w:t xml:space="preserve">6  </w:t>
            </w:r>
            <w:r>
              <w:rPr>
                <w:rFonts w:eastAsia="仿宋"/>
                <w:color w:val="auto"/>
                <w:spacing w:val="16"/>
                <w:sz w:val="21"/>
                <w:szCs w:val="21"/>
                <w:highlight w:val="none"/>
                <w:lang w:eastAsia="zh-CN"/>
              </w:rPr>
              <w:t>模块单元机电质量验收记录表</w:t>
            </w:r>
          </w:p>
          <w:p>
            <w:pPr>
              <w:pStyle w:val="79"/>
              <w:spacing w:before="85" w:line="228" w:lineRule="auto"/>
              <w:ind w:left="432"/>
              <w:rPr>
                <w:rFonts w:eastAsia="仿宋"/>
                <w:color w:val="auto"/>
                <w:sz w:val="21"/>
                <w:szCs w:val="21"/>
                <w:highlight w:val="none"/>
                <w:lang w:eastAsia="zh-CN"/>
              </w:rPr>
            </w:pPr>
            <w:r>
              <w:rPr>
                <w:rFonts w:eastAsia="仿宋"/>
                <w:b/>
                <w:bCs/>
                <w:color w:val="auto"/>
                <w:spacing w:val="16"/>
                <w:sz w:val="21"/>
                <w:szCs w:val="21"/>
                <w:highlight w:val="none"/>
                <w:lang w:eastAsia="zh-CN"/>
              </w:rPr>
              <w:t>A.</w:t>
            </w:r>
            <w:r>
              <w:rPr>
                <w:rFonts w:hint="eastAsia" w:eastAsia="仿宋"/>
                <w:b/>
                <w:bCs/>
                <w:color w:val="auto"/>
                <w:spacing w:val="15"/>
                <w:sz w:val="21"/>
                <w:szCs w:val="21"/>
                <w:highlight w:val="none"/>
                <w:lang w:eastAsia="zh-CN"/>
              </w:rPr>
              <w:t>0.</w:t>
            </w:r>
            <w:r>
              <w:rPr>
                <w:rFonts w:eastAsia="仿宋"/>
                <w:b/>
                <w:bCs/>
                <w:color w:val="auto"/>
                <w:spacing w:val="16"/>
                <w:sz w:val="21"/>
                <w:szCs w:val="21"/>
                <w:highlight w:val="none"/>
                <w:lang w:eastAsia="zh-CN"/>
              </w:rPr>
              <w:t xml:space="preserve">7  </w:t>
            </w:r>
            <w:r>
              <w:rPr>
                <w:rFonts w:eastAsia="仿宋"/>
                <w:color w:val="auto"/>
                <w:spacing w:val="16"/>
                <w:sz w:val="21"/>
                <w:szCs w:val="21"/>
                <w:highlight w:val="none"/>
                <w:lang w:eastAsia="zh-CN"/>
              </w:rPr>
              <w:t>模块单元吊装质量验收记录表</w:t>
            </w:r>
          </w:p>
          <w:p>
            <w:pPr>
              <w:spacing w:before="87" w:line="227" w:lineRule="auto"/>
              <w:ind w:left="434"/>
              <w:rPr>
                <w:rFonts w:eastAsia="仿宋"/>
                <w:color w:val="auto"/>
                <w:szCs w:val="21"/>
                <w:highlight w:val="none"/>
              </w:rPr>
            </w:pPr>
            <w:r>
              <w:rPr>
                <w:rFonts w:eastAsia="仿宋"/>
                <w:color w:val="auto"/>
                <w:spacing w:val="20"/>
                <w:szCs w:val="21"/>
                <w:highlight w:val="none"/>
              </w:rPr>
              <w:t>经检验，本批模块单元符合规定质量要求标准，准予出货。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jc w:val="center"/>
        </w:trPr>
        <w:tc>
          <w:tcPr>
            <w:tcW w:w="14207" w:type="dxa"/>
            <w:gridSpan w:val="6"/>
            <w:tcBorders>
              <w:top w:val="single" w:color="auto" w:sz="4" w:space="0"/>
              <w:left w:val="single" w:color="auto" w:sz="12" w:space="0"/>
              <w:bottom w:val="nil"/>
              <w:right w:val="single" w:color="auto" w:sz="12" w:space="0"/>
            </w:tcBorders>
          </w:tcPr>
          <w:p>
            <w:pPr>
              <w:spacing w:line="336" w:lineRule="auto"/>
              <w:rPr>
                <w:rFonts w:eastAsia="仿宋"/>
                <w:color w:val="auto"/>
                <w:szCs w:val="21"/>
                <w:highlight w:val="none"/>
              </w:rPr>
            </w:pPr>
          </w:p>
          <w:p>
            <w:pPr>
              <w:spacing w:before="65" w:line="480" w:lineRule="auto"/>
              <w:ind w:right="2580"/>
              <w:rPr>
                <w:rFonts w:eastAsia="仿宋"/>
                <w:color w:val="auto"/>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jc w:val="center"/>
        </w:trPr>
        <w:tc>
          <w:tcPr>
            <w:tcW w:w="9465" w:type="dxa"/>
            <w:gridSpan w:val="4"/>
            <w:tcBorders>
              <w:top w:val="nil"/>
              <w:left w:val="single" w:color="auto" w:sz="12" w:space="0"/>
              <w:bottom w:val="nil"/>
              <w:right w:val="nil"/>
            </w:tcBorders>
            <w:vAlign w:val="center"/>
          </w:tcPr>
          <w:p>
            <w:pPr>
              <w:jc w:val="center"/>
              <w:rPr>
                <w:rFonts w:eastAsia="仿宋"/>
                <w:color w:val="auto"/>
                <w:spacing w:val="16"/>
                <w:szCs w:val="21"/>
                <w:highlight w:val="none"/>
              </w:rPr>
            </w:pPr>
          </w:p>
        </w:tc>
        <w:tc>
          <w:tcPr>
            <w:tcW w:w="4742" w:type="dxa"/>
            <w:gridSpan w:val="2"/>
            <w:tcBorders>
              <w:top w:val="nil"/>
              <w:left w:val="nil"/>
              <w:bottom w:val="nil"/>
              <w:right w:val="single" w:color="auto" w:sz="12" w:space="0"/>
            </w:tcBorders>
            <w:vAlign w:val="center"/>
          </w:tcPr>
          <w:p>
            <w:pPr>
              <w:rPr>
                <w:rFonts w:eastAsia="仿宋"/>
                <w:color w:val="auto"/>
                <w:spacing w:val="16"/>
                <w:szCs w:val="21"/>
                <w:highlight w:val="none"/>
              </w:rPr>
            </w:pPr>
            <w:r>
              <w:rPr>
                <w:rFonts w:eastAsia="仿宋"/>
                <w:color w:val="auto"/>
                <w:spacing w:val="16"/>
                <w:szCs w:val="21"/>
                <w:highlight w:val="none"/>
              </w:rPr>
              <w:t>模块制造单位名称：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jc w:val="center"/>
        </w:trPr>
        <w:tc>
          <w:tcPr>
            <w:tcW w:w="9465" w:type="dxa"/>
            <w:gridSpan w:val="4"/>
            <w:tcBorders>
              <w:top w:val="nil"/>
              <w:left w:val="single" w:color="auto" w:sz="12" w:space="0"/>
              <w:bottom w:val="single" w:color="auto" w:sz="4" w:space="0"/>
              <w:right w:val="nil"/>
            </w:tcBorders>
            <w:vAlign w:val="center"/>
          </w:tcPr>
          <w:p>
            <w:pPr>
              <w:jc w:val="center"/>
              <w:rPr>
                <w:rFonts w:eastAsia="仿宋"/>
                <w:color w:val="auto"/>
                <w:spacing w:val="16"/>
                <w:szCs w:val="21"/>
                <w:highlight w:val="none"/>
              </w:rPr>
            </w:pPr>
          </w:p>
        </w:tc>
        <w:tc>
          <w:tcPr>
            <w:tcW w:w="4742" w:type="dxa"/>
            <w:gridSpan w:val="2"/>
            <w:tcBorders>
              <w:top w:val="nil"/>
              <w:left w:val="nil"/>
              <w:bottom w:val="single" w:color="auto" w:sz="4" w:space="0"/>
              <w:right w:val="single" w:color="auto" w:sz="12" w:space="0"/>
            </w:tcBorders>
            <w:vAlign w:val="center"/>
          </w:tcPr>
          <w:p>
            <w:pPr>
              <w:rPr>
                <w:rFonts w:eastAsia="仿宋"/>
                <w:color w:val="auto"/>
                <w:spacing w:val="16"/>
                <w:szCs w:val="21"/>
                <w:highlight w:val="none"/>
              </w:rPr>
            </w:pPr>
            <w:r>
              <w:rPr>
                <w:rFonts w:eastAsia="仿宋"/>
                <w:color w:val="auto"/>
                <w:spacing w:val="16"/>
                <w:szCs w:val="21"/>
                <w:highlight w:val="none"/>
              </w:rPr>
              <w:t>质量部（章）：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jc w:val="center"/>
        </w:trPr>
        <w:tc>
          <w:tcPr>
            <w:tcW w:w="4740" w:type="dxa"/>
            <w:gridSpan w:val="2"/>
            <w:tcBorders>
              <w:top w:val="single" w:color="auto" w:sz="4" w:space="0"/>
              <w:left w:val="single" w:color="000000" w:sz="10" w:space="0"/>
              <w:bottom w:val="single" w:color="000000" w:sz="10" w:space="0"/>
            </w:tcBorders>
          </w:tcPr>
          <w:p>
            <w:pPr>
              <w:spacing w:before="282" w:line="229" w:lineRule="auto"/>
              <w:ind w:left="222"/>
              <w:rPr>
                <w:rFonts w:eastAsia="仿宋"/>
                <w:color w:val="auto"/>
                <w:szCs w:val="21"/>
                <w:highlight w:val="none"/>
              </w:rPr>
            </w:pPr>
            <w:r>
              <w:rPr>
                <w:rFonts w:eastAsia="仿宋"/>
                <w:color w:val="auto"/>
                <w:spacing w:val="7"/>
                <w:szCs w:val="21"/>
                <w:highlight w:val="none"/>
              </w:rPr>
              <w:t>批准：</w:t>
            </w:r>
          </w:p>
        </w:tc>
        <w:tc>
          <w:tcPr>
            <w:tcW w:w="4725" w:type="dxa"/>
            <w:gridSpan w:val="2"/>
            <w:tcBorders>
              <w:top w:val="single" w:color="auto" w:sz="4" w:space="0"/>
              <w:bottom w:val="single" w:color="000000" w:sz="10" w:space="0"/>
            </w:tcBorders>
          </w:tcPr>
          <w:p>
            <w:pPr>
              <w:spacing w:before="282" w:line="228" w:lineRule="auto"/>
              <w:ind w:left="225"/>
              <w:rPr>
                <w:rFonts w:eastAsia="仿宋"/>
                <w:color w:val="auto"/>
                <w:szCs w:val="21"/>
                <w:highlight w:val="none"/>
              </w:rPr>
            </w:pPr>
            <w:r>
              <w:rPr>
                <w:rFonts w:eastAsia="仿宋"/>
                <w:color w:val="auto"/>
                <w:spacing w:val="3"/>
                <w:szCs w:val="21"/>
                <w:highlight w:val="none"/>
              </w:rPr>
              <w:t>审核：</w:t>
            </w:r>
          </w:p>
        </w:tc>
        <w:tc>
          <w:tcPr>
            <w:tcW w:w="4742" w:type="dxa"/>
            <w:gridSpan w:val="2"/>
            <w:tcBorders>
              <w:top w:val="single" w:color="auto" w:sz="4" w:space="0"/>
              <w:bottom w:val="single" w:color="000000" w:sz="10" w:space="0"/>
              <w:right w:val="single" w:color="000000" w:sz="10" w:space="0"/>
            </w:tcBorders>
          </w:tcPr>
          <w:p>
            <w:pPr>
              <w:spacing w:before="281" w:line="228" w:lineRule="auto"/>
              <w:ind w:left="223"/>
              <w:rPr>
                <w:rFonts w:eastAsia="仿宋"/>
                <w:color w:val="auto"/>
                <w:szCs w:val="21"/>
                <w:highlight w:val="none"/>
              </w:rPr>
            </w:pPr>
            <w:r>
              <w:rPr>
                <w:rFonts w:eastAsia="仿宋"/>
                <w:color w:val="auto"/>
                <w:spacing w:val="6"/>
                <w:szCs w:val="21"/>
                <w:highlight w:val="none"/>
              </w:rPr>
              <w:t>编制：</w:t>
            </w:r>
          </w:p>
        </w:tc>
      </w:tr>
    </w:tbl>
    <w:p>
      <w:pPr>
        <w:pStyle w:val="9"/>
        <w:rPr>
          <w:rFonts w:hint="eastAsia"/>
          <w:color w:val="auto"/>
          <w:highlight w:val="none"/>
        </w:rPr>
      </w:pPr>
    </w:p>
    <w:p>
      <w:pPr>
        <w:rPr>
          <w:color w:val="auto"/>
          <w:highlight w:val="none"/>
        </w:rPr>
        <w:sectPr>
          <w:footerReference r:id="rId11" w:type="default"/>
          <w:pgSz w:w="16839" w:h="11906"/>
          <w:pgMar w:top="1012" w:right="1501" w:bottom="1145" w:left="1103" w:header="0" w:footer="958" w:gutter="0"/>
          <w:cols w:space="720" w:num="1"/>
        </w:sectPr>
      </w:pPr>
    </w:p>
    <w:p>
      <w:pPr>
        <w:pStyle w:val="4"/>
        <w:spacing w:before="166" w:beforeLines="50" w:after="166" w:afterLines="50"/>
        <w:jc w:val="center"/>
        <w:rPr>
          <w:rFonts w:hint="eastAsia"/>
          <w:color w:val="auto"/>
          <w:sz w:val="21"/>
          <w:szCs w:val="32"/>
          <w:highlight w:val="none"/>
        </w:rPr>
      </w:pPr>
      <w:bookmarkStart w:id="1693" w:name="_Toc24456"/>
      <w:r>
        <w:rPr>
          <w:rFonts w:hint="eastAsia"/>
          <w:b w:val="0"/>
          <w:bCs/>
          <w:color w:val="auto"/>
          <w:sz w:val="21"/>
          <w:szCs w:val="32"/>
          <w:highlight w:val="none"/>
        </w:rPr>
        <w:t>A</w:t>
      </w:r>
      <w:r>
        <w:rPr>
          <w:rFonts w:hint="eastAsia" w:ascii="Times New Roman" w:hAnsi="Times New Roman" w:eastAsia="黑体" w:cs="Times New Roman"/>
          <w:b w:val="0"/>
          <w:bCs/>
          <w:color w:val="auto"/>
          <w:sz w:val="21"/>
          <w:szCs w:val="32"/>
          <w:highlight w:val="none"/>
        </w:rPr>
        <w:t>.0.</w:t>
      </w:r>
      <w:r>
        <w:rPr>
          <w:rFonts w:hint="eastAsia"/>
          <w:b w:val="0"/>
          <w:bCs/>
          <w:color w:val="auto"/>
          <w:sz w:val="21"/>
          <w:szCs w:val="32"/>
          <w:highlight w:val="none"/>
        </w:rPr>
        <w:t xml:space="preserve">2  </w:t>
      </w:r>
      <w:r>
        <w:rPr>
          <w:rFonts w:hint="eastAsia"/>
          <w:color w:val="auto"/>
          <w:sz w:val="21"/>
          <w:szCs w:val="32"/>
          <w:highlight w:val="none"/>
        </w:rPr>
        <w:t>模块单元模具质量验收记录表</w:t>
      </w:r>
      <w:bookmarkEnd w:id="1693"/>
    </w:p>
    <w:p>
      <w:pPr>
        <w:autoSpaceDE w:val="0"/>
        <w:autoSpaceDN w:val="0"/>
        <w:adjustRightInd w:val="0"/>
        <w:ind w:left="190"/>
        <w:jc w:val="center"/>
        <w:rPr>
          <w:rFonts w:eastAsia="仿宋"/>
          <w:b/>
          <w:bCs/>
          <w:color w:val="auto"/>
          <w:spacing w:val="0"/>
          <w:kern w:val="0"/>
          <w:szCs w:val="24"/>
          <w:highlight w:val="none"/>
        </w:rPr>
      </w:pPr>
      <w:r>
        <w:rPr>
          <w:rFonts w:eastAsia="仿宋"/>
          <w:b/>
          <w:bCs/>
          <w:color w:val="auto"/>
          <w:spacing w:val="0"/>
          <w:kern w:val="0"/>
          <w:szCs w:val="24"/>
          <w:highlight w:val="none"/>
        </w:rPr>
        <w:t>表A</w:t>
      </w:r>
      <w:r>
        <w:rPr>
          <w:rFonts w:hint="default" w:ascii="Times New Roman" w:hAnsi="Times New Roman" w:eastAsia="仿宋" w:cs="Times New Roman"/>
          <w:b/>
          <w:bCs/>
          <w:color w:val="auto"/>
          <w:spacing w:val="0"/>
          <w:kern w:val="0"/>
          <w:szCs w:val="24"/>
          <w:highlight w:val="none"/>
        </w:rPr>
        <w:t>.0.</w:t>
      </w:r>
      <w:r>
        <w:rPr>
          <w:rFonts w:eastAsia="仿宋"/>
          <w:b/>
          <w:bCs/>
          <w:color w:val="auto"/>
          <w:spacing w:val="0"/>
          <w:kern w:val="0"/>
          <w:szCs w:val="24"/>
          <w:highlight w:val="none"/>
        </w:rPr>
        <w:t>2  模块单元模具质量验收记录表</w:t>
      </w:r>
    </w:p>
    <w:tbl>
      <w:tblPr>
        <w:tblStyle w:val="24"/>
        <w:tblW w:w="97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6"/>
        <w:gridCol w:w="530"/>
        <w:gridCol w:w="861"/>
        <w:gridCol w:w="1584"/>
        <w:gridCol w:w="262"/>
        <w:gridCol w:w="1193"/>
        <w:gridCol w:w="942"/>
        <w:gridCol w:w="563"/>
        <w:gridCol w:w="556"/>
        <w:gridCol w:w="406"/>
        <w:gridCol w:w="976"/>
        <w:gridCol w:w="18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2991" w:type="dxa"/>
            <w:gridSpan w:val="4"/>
            <w:vAlign w:val="center"/>
          </w:tcPr>
          <w:p>
            <w:pPr>
              <w:adjustRightInd w:val="0"/>
              <w:snapToGrid w:val="0"/>
              <w:jc w:val="center"/>
              <w:rPr>
                <w:rFonts w:eastAsia="仿宋"/>
                <w:color w:val="auto"/>
                <w:szCs w:val="21"/>
                <w:highlight w:val="none"/>
              </w:rPr>
            </w:pPr>
            <w:r>
              <w:rPr>
                <w:rFonts w:eastAsia="仿宋"/>
                <w:color w:val="auto"/>
                <w:spacing w:val="3"/>
                <w:szCs w:val="21"/>
                <w:highlight w:val="none"/>
              </w:rPr>
              <w:t>工程名称</w:t>
            </w:r>
          </w:p>
        </w:tc>
        <w:tc>
          <w:tcPr>
            <w:tcW w:w="6770" w:type="dxa"/>
            <w:gridSpan w:val="8"/>
            <w:vAlign w:val="center"/>
          </w:tcPr>
          <w:p>
            <w:pPr>
              <w:pStyle w:val="79"/>
              <w:adjustRightInd w:val="0"/>
              <w:snapToGrid w:val="0"/>
              <w:jc w:val="center"/>
              <w:rPr>
                <w:rFonts w:eastAsia="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2991" w:type="dxa"/>
            <w:gridSpan w:val="4"/>
            <w:vAlign w:val="center"/>
          </w:tcPr>
          <w:p>
            <w:pPr>
              <w:adjustRightInd w:val="0"/>
              <w:snapToGrid w:val="0"/>
              <w:jc w:val="center"/>
              <w:rPr>
                <w:rFonts w:eastAsia="仿宋"/>
                <w:color w:val="auto"/>
                <w:szCs w:val="21"/>
                <w:highlight w:val="none"/>
              </w:rPr>
            </w:pPr>
            <w:r>
              <w:rPr>
                <w:rFonts w:eastAsia="仿宋"/>
                <w:color w:val="auto"/>
                <w:spacing w:val="4"/>
                <w:szCs w:val="21"/>
                <w:highlight w:val="none"/>
              </w:rPr>
              <w:t>模块编号</w:t>
            </w:r>
          </w:p>
        </w:tc>
        <w:tc>
          <w:tcPr>
            <w:tcW w:w="2960" w:type="dxa"/>
            <w:gridSpan w:val="4"/>
            <w:vAlign w:val="center"/>
          </w:tcPr>
          <w:p>
            <w:pPr>
              <w:pStyle w:val="79"/>
              <w:adjustRightInd w:val="0"/>
              <w:snapToGrid w:val="0"/>
              <w:jc w:val="center"/>
              <w:rPr>
                <w:rFonts w:eastAsia="仿宋"/>
                <w:color w:val="auto"/>
                <w:sz w:val="21"/>
                <w:szCs w:val="21"/>
                <w:highlight w:val="none"/>
              </w:rPr>
            </w:pPr>
          </w:p>
        </w:tc>
        <w:tc>
          <w:tcPr>
            <w:tcW w:w="962" w:type="dxa"/>
            <w:gridSpan w:val="2"/>
            <w:vAlign w:val="center"/>
          </w:tcPr>
          <w:p>
            <w:pPr>
              <w:adjustRightInd w:val="0"/>
              <w:snapToGrid w:val="0"/>
              <w:jc w:val="center"/>
              <w:rPr>
                <w:rFonts w:eastAsia="仿宋"/>
                <w:color w:val="auto"/>
                <w:szCs w:val="21"/>
                <w:highlight w:val="none"/>
              </w:rPr>
            </w:pPr>
            <w:r>
              <w:rPr>
                <w:rFonts w:eastAsia="仿宋"/>
                <w:color w:val="auto"/>
                <w:spacing w:val="3"/>
                <w:szCs w:val="21"/>
                <w:highlight w:val="none"/>
              </w:rPr>
              <w:t>产品编号</w:t>
            </w:r>
          </w:p>
        </w:tc>
        <w:tc>
          <w:tcPr>
            <w:tcW w:w="2848" w:type="dxa"/>
            <w:gridSpan w:val="2"/>
            <w:vAlign w:val="center"/>
          </w:tcPr>
          <w:p>
            <w:pPr>
              <w:pStyle w:val="79"/>
              <w:adjustRightInd w:val="0"/>
              <w:snapToGrid w:val="0"/>
              <w:jc w:val="center"/>
              <w:rPr>
                <w:rFonts w:eastAsia="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2991" w:type="dxa"/>
            <w:gridSpan w:val="4"/>
            <w:vAlign w:val="center"/>
          </w:tcPr>
          <w:p>
            <w:pPr>
              <w:adjustRightInd w:val="0"/>
              <w:snapToGrid w:val="0"/>
              <w:jc w:val="center"/>
              <w:rPr>
                <w:rFonts w:eastAsia="仿宋"/>
                <w:color w:val="auto"/>
                <w:szCs w:val="21"/>
                <w:highlight w:val="none"/>
              </w:rPr>
            </w:pPr>
            <w:r>
              <w:rPr>
                <w:rFonts w:eastAsia="仿宋"/>
                <w:color w:val="auto"/>
                <w:spacing w:val="3"/>
                <w:szCs w:val="21"/>
                <w:highlight w:val="none"/>
              </w:rPr>
              <w:t>制造批次</w:t>
            </w:r>
          </w:p>
        </w:tc>
        <w:tc>
          <w:tcPr>
            <w:tcW w:w="2960" w:type="dxa"/>
            <w:gridSpan w:val="4"/>
            <w:vAlign w:val="center"/>
          </w:tcPr>
          <w:p>
            <w:pPr>
              <w:pStyle w:val="79"/>
              <w:adjustRightInd w:val="0"/>
              <w:snapToGrid w:val="0"/>
              <w:jc w:val="center"/>
              <w:rPr>
                <w:rFonts w:eastAsia="仿宋"/>
                <w:color w:val="auto"/>
                <w:sz w:val="21"/>
                <w:szCs w:val="21"/>
                <w:highlight w:val="none"/>
              </w:rPr>
            </w:pPr>
          </w:p>
        </w:tc>
        <w:tc>
          <w:tcPr>
            <w:tcW w:w="962" w:type="dxa"/>
            <w:gridSpan w:val="2"/>
            <w:vAlign w:val="center"/>
          </w:tcPr>
          <w:p>
            <w:pPr>
              <w:adjustRightInd w:val="0"/>
              <w:snapToGrid w:val="0"/>
              <w:jc w:val="center"/>
              <w:rPr>
                <w:rFonts w:eastAsia="仿宋"/>
                <w:color w:val="auto"/>
                <w:szCs w:val="21"/>
                <w:highlight w:val="none"/>
              </w:rPr>
            </w:pPr>
            <w:r>
              <w:rPr>
                <w:rFonts w:eastAsia="仿宋"/>
                <w:color w:val="auto"/>
                <w:spacing w:val="3"/>
                <w:szCs w:val="21"/>
                <w:highlight w:val="none"/>
              </w:rPr>
              <w:t>检查日期</w:t>
            </w:r>
          </w:p>
        </w:tc>
        <w:tc>
          <w:tcPr>
            <w:tcW w:w="2848" w:type="dxa"/>
            <w:gridSpan w:val="2"/>
            <w:vAlign w:val="center"/>
          </w:tcPr>
          <w:p>
            <w:pPr>
              <w:pStyle w:val="79"/>
              <w:adjustRightInd w:val="0"/>
              <w:snapToGrid w:val="0"/>
              <w:jc w:val="center"/>
              <w:rPr>
                <w:rFonts w:eastAsia="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4446" w:type="dxa"/>
            <w:gridSpan w:val="6"/>
            <w:vMerge w:val="restart"/>
            <w:vAlign w:val="center"/>
          </w:tcPr>
          <w:p>
            <w:pPr>
              <w:adjustRightInd w:val="0"/>
              <w:snapToGrid w:val="0"/>
              <w:jc w:val="center"/>
              <w:rPr>
                <w:rFonts w:eastAsia="仿宋"/>
                <w:color w:val="auto"/>
                <w:szCs w:val="21"/>
                <w:highlight w:val="none"/>
              </w:rPr>
            </w:pPr>
            <w:r>
              <w:rPr>
                <w:rFonts w:eastAsia="仿宋"/>
                <w:color w:val="auto"/>
                <w:spacing w:val="4"/>
                <w:szCs w:val="21"/>
                <w:highlight w:val="none"/>
              </w:rPr>
              <w:t>检查项目及内容</w:t>
            </w:r>
          </w:p>
        </w:tc>
        <w:tc>
          <w:tcPr>
            <w:tcW w:w="942" w:type="dxa"/>
            <w:vMerge w:val="restart"/>
            <w:vAlign w:val="center"/>
          </w:tcPr>
          <w:p>
            <w:pPr>
              <w:adjustRightInd w:val="0"/>
              <w:snapToGrid w:val="0"/>
              <w:jc w:val="center"/>
              <w:rPr>
                <w:rFonts w:eastAsia="仿宋"/>
                <w:color w:val="auto"/>
                <w:szCs w:val="21"/>
                <w:highlight w:val="none"/>
              </w:rPr>
            </w:pPr>
            <w:r>
              <w:rPr>
                <w:rFonts w:eastAsia="仿宋"/>
                <w:color w:val="auto"/>
                <w:spacing w:val="3"/>
                <w:szCs w:val="21"/>
                <w:highlight w:val="none"/>
              </w:rPr>
              <w:t>设计要求及规范规定</w:t>
            </w:r>
          </w:p>
        </w:tc>
        <w:tc>
          <w:tcPr>
            <w:tcW w:w="4373" w:type="dxa"/>
            <w:gridSpan w:val="5"/>
            <w:vAlign w:val="center"/>
          </w:tcPr>
          <w:p>
            <w:pPr>
              <w:adjustRightInd w:val="0"/>
              <w:snapToGrid w:val="0"/>
              <w:jc w:val="center"/>
              <w:rPr>
                <w:rFonts w:eastAsia="仿宋"/>
                <w:color w:val="auto"/>
                <w:szCs w:val="21"/>
                <w:highlight w:val="none"/>
              </w:rPr>
            </w:pPr>
            <w:r>
              <w:rPr>
                <w:rFonts w:eastAsia="仿宋"/>
                <w:color w:val="auto"/>
                <w:spacing w:val="2"/>
                <w:szCs w:val="21"/>
                <w:highlight w:val="none"/>
              </w:rPr>
              <w:t>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4446" w:type="dxa"/>
            <w:gridSpan w:val="6"/>
            <w:vMerge w:val="continue"/>
            <w:vAlign w:val="center"/>
          </w:tcPr>
          <w:p>
            <w:pPr>
              <w:pStyle w:val="79"/>
              <w:adjustRightInd w:val="0"/>
              <w:snapToGrid w:val="0"/>
              <w:jc w:val="center"/>
              <w:rPr>
                <w:rFonts w:eastAsia="仿宋"/>
                <w:color w:val="auto"/>
                <w:sz w:val="21"/>
                <w:szCs w:val="21"/>
                <w:highlight w:val="none"/>
              </w:rPr>
            </w:pPr>
          </w:p>
        </w:tc>
        <w:tc>
          <w:tcPr>
            <w:tcW w:w="942" w:type="dxa"/>
            <w:vMerge w:val="continue"/>
            <w:vAlign w:val="center"/>
          </w:tcPr>
          <w:p>
            <w:pPr>
              <w:pStyle w:val="79"/>
              <w:adjustRightInd w:val="0"/>
              <w:snapToGrid w:val="0"/>
              <w:jc w:val="center"/>
              <w:rPr>
                <w:rFonts w:eastAsia="仿宋"/>
                <w:color w:val="auto"/>
                <w:sz w:val="21"/>
                <w:szCs w:val="21"/>
                <w:highlight w:val="none"/>
              </w:rPr>
            </w:pPr>
          </w:p>
        </w:tc>
        <w:tc>
          <w:tcPr>
            <w:tcW w:w="1525" w:type="dxa"/>
            <w:gridSpan w:val="3"/>
            <w:vAlign w:val="center"/>
          </w:tcPr>
          <w:p>
            <w:pPr>
              <w:adjustRightInd w:val="0"/>
              <w:snapToGrid w:val="0"/>
              <w:jc w:val="center"/>
              <w:rPr>
                <w:rFonts w:eastAsia="仿宋"/>
                <w:color w:val="auto"/>
                <w:szCs w:val="21"/>
                <w:highlight w:val="none"/>
              </w:rPr>
            </w:pPr>
            <w:r>
              <w:rPr>
                <w:rFonts w:hint="eastAsia" w:eastAsia="仿宋"/>
                <w:color w:val="auto"/>
                <w:spacing w:val="2"/>
                <w:szCs w:val="21"/>
                <w:highlight w:val="none"/>
              </w:rPr>
              <w:t>检验结果</w:t>
            </w:r>
          </w:p>
        </w:tc>
        <w:tc>
          <w:tcPr>
            <w:tcW w:w="976" w:type="dxa"/>
            <w:vAlign w:val="center"/>
          </w:tcPr>
          <w:p>
            <w:pPr>
              <w:adjustRightInd w:val="0"/>
              <w:snapToGrid w:val="0"/>
              <w:jc w:val="center"/>
              <w:rPr>
                <w:rFonts w:eastAsia="仿宋"/>
                <w:color w:val="auto"/>
                <w:spacing w:val="3"/>
                <w:szCs w:val="21"/>
                <w:highlight w:val="none"/>
              </w:rPr>
            </w:pPr>
            <w:r>
              <w:rPr>
                <w:rFonts w:eastAsia="仿宋"/>
                <w:color w:val="auto"/>
                <w:spacing w:val="3"/>
                <w:szCs w:val="21"/>
                <w:highlight w:val="none"/>
              </w:rPr>
              <w:t>质量</w:t>
            </w:r>
          </w:p>
          <w:p>
            <w:pPr>
              <w:adjustRightInd w:val="0"/>
              <w:snapToGrid w:val="0"/>
              <w:jc w:val="center"/>
              <w:rPr>
                <w:rFonts w:eastAsia="仿宋"/>
                <w:color w:val="auto"/>
                <w:szCs w:val="21"/>
                <w:highlight w:val="none"/>
              </w:rPr>
            </w:pPr>
            <w:r>
              <w:rPr>
                <w:rFonts w:eastAsia="仿宋"/>
                <w:color w:val="auto"/>
                <w:spacing w:val="3"/>
                <w:szCs w:val="21"/>
                <w:highlight w:val="none"/>
              </w:rPr>
              <w:t>检查员</w:t>
            </w:r>
          </w:p>
        </w:tc>
        <w:tc>
          <w:tcPr>
            <w:tcW w:w="1872" w:type="dxa"/>
            <w:vAlign w:val="center"/>
          </w:tcPr>
          <w:p>
            <w:pPr>
              <w:adjustRightInd w:val="0"/>
              <w:snapToGrid w:val="0"/>
              <w:jc w:val="center"/>
              <w:rPr>
                <w:rFonts w:eastAsia="仿宋"/>
                <w:color w:val="auto"/>
                <w:szCs w:val="21"/>
                <w:highlight w:val="none"/>
              </w:rPr>
            </w:pPr>
            <w:r>
              <w:rPr>
                <w:rFonts w:eastAsia="仿宋"/>
                <w:color w:val="auto"/>
                <w:spacing w:val="3"/>
                <w:szCs w:val="21"/>
                <w:highlight w:val="none"/>
              </w:rPr>
              <w:t>质量复核人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546" w:type="dxa"/>
            <w:gridSpan w:val="2"/>
            <w:vMerge w:val="restart"/>
            <w:vAlign w:val="center"/>
          </w:tcPr>
          <w:p>
            <w:pPr>
              <w:adjustRightInd w:val="0"/>
              <w:snapToGrid w:val="0"/>
              <w:jc w:val="center"/>
              <w:rPr>
                <w:rFonts w:eastAsia="仿宋"/>
                <w:color w:val="auto"/>
                <w:szCs w:val="21"/>
                <w:highlight w:val="none"/>
              </w:rPr>
            </w:pPr>
            <w:r>
              <w:rPr>
                <w:rFonts w:eastAsia="仿宋"/>
                <w:color w:val="auto"/>
                <w:szCs w:val="21"/>
                <w:highlight w:val="none"/>
              </w:rPr>
              <w:t>1</w:t>
            </w:r>
          </w:p>
        </w:tc>
        <w:tc>
          <w:tcPr>
            <w:tcW w:w="9215" w:type="dxa"/>
            <w:gridSpan w:val="10"/>
            <w:vAlign w:val="center"/>
          </w:tcPr>
          <w:p>
            <w:pPr>
              <w:adjustRightInd w:val="0"/>
              <w:snapToGrid w:val="0"/>
              <w:jc w:val="center"/>
              <w:rPr>
                <w:rFonts w:eastAsia="仿宋"/>
                <w:color w:val="auto"/>
                <w:szCs w:val="21"/>
                <w:highlight w:val="none"/>
              </w:rPr>
            </w:pPr>
            <w:r>
              <w:rPr>
                <w:rFonts w:eastAsia="仿宋"/>
                <w:color w:val="auto"/>
                <w:spacing w:val="4"/>
                <w:szCs w:val="21"/>
                <w:highlight w:val="none"/>
              </w:rPr>
              <w:t>模具尺寸</w:t>
            </w:r>
            <w:r>
              <w:rPr>
                <w:rFonts w:hint="eastAsia" w:eastAsia="仿宋"/>
                <w:color w:val="auto"/>
                <w:spacing w:val="4"/>
                <w:szCs w:val="21"/>
                <w:highlight w:val="none"/>
              </w:rPr>
              <w:t>（mm）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03" w:hRule="atLeast"/>
          <w:jc w:val="center"/>
        </w:trPr>
        <w:tc>
          <w:tcPr>
            <w:tcW w:w="546" w:type="dxa"/>
            <w:gridSpan w:val="2"/>
            <w:vMerge w:val="continue"/>
            <w:vAlign w:val="center"/>
          </w:tcPr>
          <w:p>
            <w:pPr>
              <w:pStyle w:val="79"/>
              <w:adjustRightInd w:val="0"/>
              <w:snapToGrid w:val="0"/>
              <w:jc w:val="center"/>
              <w:rPr>
                <w:rFonts w:eastAsia="仿宋"/>
                <w:color w:val="auto"/>
                <w:sz w:val="21"/>
                <w:szCs w:val="21"/>
                <w:highlight w:val="none"/>
              </w:rPr>
            </w:pPr>
          </w:p>
        </w:tc>
        <w:tc>
          <w:tcPr>
            <w:tcW w:w="861" w:type="dxa"/>
            <w:vMerge w:val="restart"/>
            <w:vAlign w:val="center"/>
          </w:tcPr>
          <w:p>
            <w:pPr>
              <w:adjustRightInd w:val="0"/>
              <w:snapToGrid w:val="0"/>
              <w:jc w:val="center"/>
              <w:rPr>
                <w:rFonts w:eastAsia="仿宋"/>
                <w:color w:val="auto"/>
                <w:szCs w:val="21"/>
                <w:highlight w:val="none"/>
              </w:rPr>
            </w:pPr>
            <w:r>
              <w:rPr>
                <w:rFonts w:eastAsia="仿宋"/>
                <w:color w:val="auto"/>
                <w:spacing w:val="2"/>
                <w:szCs w:val="21"/>
                <w:highlight w:val="none"/>
              </w:rPr>
              <w:t>主控项目</w:t>
            </w:r>
          </w:p>
        </w:tc>
        <w:tc>
          <w:tcPr>
            <w:tcW w:w="3039" w:type="dxa"/>
            <w:gridSpan w:val="3"/>
            <w:vAlign w:val="center"/>
          </w:tcPr>
          <w:p>
            <w:pPr>
              <w:adjustRightInd w:val="0"/>
              <w:snapToGrid w:val="0"/>
              <w:jc w:val="center"/>
              <w:rPr>
                <w:rFonts w:eastAsia="仿宋"/>
                <w:color w:val="auto"/>
                <w:szCs w:val="21"/>
                <w:highlight w:val="none"/>
              </w:rPr>
            </w:pPr>
            <w:r>
              <w:rPr>
                <w:rFonts w:eastAsia="仿宋"/>
                <w:color w:val="auto"/>
                <w:spacing w:val="3"/>
                <w:szCs w:val="21"/>
                <w:highlight w:val="none"/>
              </w:rPr>
              <w:t>模板支撑材料、规格、尺寸</w:t>
            </w:r>
          </w:p>
        </w:tc>
        <w:tc>
          <w:tcPr>
            <w:tcW w:w="942" w:type="dxa"/>
            <w:vAlign w:val="center"/>
          </w:tcPr>
          <w:p>
            <w:pPr>
              <w:adjustRightInd w:val="0"/>
              <w:snapToGrid w:val="0"/>
              <w:jc w:val="center"/>
              <w:rPr>
                <w:rFonts w:eastAsia="仿宋"/>
                <w:color w:val="auto"/>
                <w:spacing w:val="2"/>
                <w:szCs w:val="21"/>
                <w:highlight w:val="none"/>
              </w:rPr>
            </w:pPr>
            <w:r>
              <w:rPr>
                <w:rFonts w:eastAsia="仿宋"/>
                <w:color w:val="auto"/>
                <w:spacing w:val="2"/>
                <w:szCs w:val="21"/>
                <w:highlight w:val="none"/>
              </w:rPr>
              <w:t>模具</w:t>
            </w:r>
          </w:p>
          <w:p>
            <w:pPr>
              <w:adjustRightInd w:val="0"/>
              <w:snapToGrid w:val="0"/>
              <w:jc w:val="center"/>
              <w:rPr>
                <w:rFonts w:eastAsia="仿宋"/>
                <w:color w:val="auto"/>
                <w:szCs w:val="21"/>
                <w:highlight w:val="none"/>
              </w:rPr>
            </w:pPr>
            <w:r>
              <w:rPr>
                <w:rFonts w:eastAsia="仿宋"/>
                <w:color w:val="auto"/>
                <w:spacing w:val="2"/>
                <w:szCs w:val="21"/>
                <w:highlight w:val="none"/>
              </w:rPr>
              <w:t>方案</w:t>
            </w:r>
          </w:p>
        </w:tc>
        <w:tc>
          <w:tcPr>
            <w:tcW w:w="1525" w:type="dxa"/>
            <w:gridSpan w:val="3"/>
            <w:vAlign w:val="center"/>
          </w:tcPr>
          <w:p>
            <w:pPr>
              <w:pStyle w:val="79"/>
              <w:adjustRightInd w:val="0"/>
              <w:snapToGrid w:val="0"/>
              <w:jc w:val="center"/>
              <w:rPr>
                <w:rFonts w:eastAsia="仿宋"/>
                <w:color w:val="auto"/>
                <w:sz w:val="21"/>
                <w:szCs w:val="21"/>
                <w:highlight w:val="none"/>
              </w:rPr>
            </w:pPr>
          </w:p>
        </w:tc>
        <w:tc>
          <w:tcPr>
            <w:tcW w:w="976" w:type="dxa"/>
            <w:vAlign w:val="center"/>
          </w:tcPr>
          <w:p>
            <w:pPr>
              <w:pStyle w:val="79"/>
              <w:adjustRightInd w:val="0"/>
              <w:snapToGrid w:val="0"/>
              <w:jc w:val="center"/>
              <w:rPr>
                <w:rFonts w:eastAsia="仿宋"/>
                <w:color w:val="auto"/>
                <w:sz w:val="21"/>
                <w:szCs w:val="21"/>
                <w:highlight w:val="none"/>
              </w:rPr>
            </w:pPr>
          </w:p>
        </w:tc>
        <w:tc>
          <w:tcPr>
            <w:tcW w:w="1872" w:type="dxa"/>
            <w:vMerge w:val="restart"/>
            <w:vAlign w:val="center"/>
          </w:tcPr>
          <w:p>
            <w:pPr>
              <w:pStyle w:val="79"/>
              <w:adjustRightInd w:val="0"/>
              <w:snapToGrid w:val="0"/>
              <w:jc w:val="center"/>
              <w:rPr>
                <w:rFonts w:eastAsia="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03" w:hRule="atLeast"/>
          <w:jc w:val="center"/>
        </w:trPr>
        <w:tc>
          <w:tcPr>
            <w:tcW w:w="546" w:type="dxa"/>
            <w:gridSpan w:val="2"/>
            <w:vMerge w:val="continue"/>
            <w:vAlign w:val="center"/>
          </w:tcPr>
          <w:p>
            <w:pPr>
              <w:pStyle w:val="79"/>
              <w:adjustRightInd w:val="0"/>
              <w:snapToGrid w:val="0"/>
              <w:jc w:val="center"/>
              <w:rPr>
                <w:rFonts w:eastAsia="仿宋"/>
                <w:color w:val="auto"/>
                <w:sz w:val="21"/>
                <w:szCs w:val="21"/>
                <w:highlight w:val="none"/>
              </w:rPr>
            </w:pPr>
          </w:p>
        </w:tc>
        <w:tc>
          <w:tcPr>
            <w:tcW w:w="861" w:type="dxa"/>
            <w:vMerge w:val="continue"/>
            <w:vAlign w:val="center"/>
          </w:tcPr>
          <w:p>
            <w:pPr>
              <w:pStyle w:val="79"/>
              <w:adjustRightInd w:val="0"/>
              <w:snapToGrid w:val="0"/>
              <w:jc w:val="center"/>
              <w:rPr>
                <w:rFonts w:eastAsia="仿宋"/>
                <w:color w:val="auto"/>
                <w:sz w:val="21"/>
                <w:szCs w:val="21"/>
                <w:highlight w:val="none"/>
              </w:rPr>
            </w:pPr>
          </w:p>
        </w:tc>
        <w:tc>
          <w:tcPr>
            <w:tcW w:w="3039" w:type="dxa"/>
            <w:gridSpan w:val="3"/>
            <w:vAlign w:val="center"/>
          </w:tcPr>
          <w:p>
            <w:pPr>
              <w:adjustRightInd w:val="0"/>
              <w:snapToGrid w:val="0"/>
              <w:jc w:val="center"/>
              <w:rPr>
                <w:rFonts w:eastAsia="仿宋"/>
                <w:color w:val="auto"/>
                <w:szCs w:val="21"/>
                <w:highlight w:val="none"/>
              </w:rPr>
            </w:pPr>
            <w:r>
              <w:rPr>
                <w:rFonts w:eastAsia="仿宋"/>
                <w:color w:val="auto"/>
                <w:spacing w:val="3"/>
                <w:szCs w:val="21"/>
                <w:highlight w:val="none"/>
              </w:rPr>
              <w:t>模板及支架安装质量</w:t>
            </w:r>
          </w:p>
        </w:tc>
        <w:tc>
          <w:tcPr>
            <w:tcW w:w="942" w:type="dxa"/>
            <w:vAlign w:val="center"/>
          </w:tcPr>
          <w:p>
            <w:pPr>
              <w:adjustRightInd w:val="0"/>
              <w:snapToGrid w:val="0"/>
              <w:jc w:val="center"/>
              <w:rPr>
                <w:rFonts w:eastAsia="仿宋"/>
                <w:color w:val="auto"/>
                <w:spacing w:val="2"/>
                <w:szCs w:val="21"/>
                <w:highlight w:val="none"/>
              </w:rPr>
            </w:pPr>
            <w:r>
              <w:rPr>
                <w:rFonts w:eastAsia="仿宋"/>
                <w:color w:val="auto"/>
                <w:spacing w:val="2"/>
                <w:szCs w:val="21"/>
                <w:highlight w:val="none"/>
              </w:rPr>
              <w:t>模具</w:t>
            </w:r>
          </w:p>
          <w:p>
            <w:pPr>
              <w:adjustRightInd w:val="0"/>
              <w:snapToGrid w:val="0"/>
              <w:jc w:val="center"/>
              <w:rPr>
                <w:rFonts w:eastAsia="仿宋"/>
                <w:color w:val="auto"/>
                <w:szCs w:val="21"/>
                <w:highlight w:val="none"/>
              </w:rPr>
            </w:pPr>
            <w:r>
              <w:rPr>
                <w:rFonts w:eastAsia="仿宋"/>
                <w:color w:val="auto"/>
                <w:spacing w:val="2"/>
                <w:szCs w:val="21"/>
                <w:highlight w:val="none"/>
              </w:rPr>
              <w:t>方案</w:t>
            </w:r>
          </w:p>
        </w:tc>
        <w:tc>
          <w:tcPr>
            <w:tcW w:w="1525" w:type="dxa"/>
            <w:gridSpan w:val="3"/>
            <w:vAlign w:val="center"/>
          </w:tcPr>
          <w:p>
            <w:pPr>
              <w:pStyle w:val="79"/>
              <w:adjustRightInd w:val="0"/>
              <w:snapToGrid w:val="0"/>
              <w:jc w:val="center"/>
              <w:rPr>
                <w:rFonts w:eastAsia="仿宋"/>
                <w:color w:val="auto"/>
                <w:sz w:val="21"/>
                <w:szCs w:val="21"/>
                <w:highlight w:val="none"/>
              </w:rPr>
            </w:pPr>
          </w:p>
        </w:tc>
        <w:tc>
          <w:tcPr>
            <w:tcW w:w="976" w:type="dxa"/>
            <w:vAlign w:val="center"/>
          </w:tcPr>
          <w:p>
            <w:pPr>
              <w:pStyle w:val="79"/>
              <w:adjustRightInd w:val="0"/>
              <w:snapToGrid w:val="0"/>
              <w:jc w:val="center"/>
              <w:rPr>
                <w:rFonts w:eastAsia="仿宋"/>
                <w:color w:val="auto"/>
                <w:sz w:val="21"/>
                <w:szCs w:val="21"/>
                <w:highlight w:val="none"/>
              </w:rPr>
            </w:pPr>
          </w:p>
        </w:tc>
        <w:tc>
          <w:tcPr>
            <w:tcW w:w="1872" w:type="dxa"/>
            <w:vMerge w:val="continue"/>
            <w:vAlign w:val="center"/>
          </w:tcPr>
          <w:p>
            <w:pPr>
              <w:pStyle w:val="79"/>
              <w:adjustRightInd w:val="0"/>
              <w:snapToGrid w:val="0"/>
              <w:jc w:val="center"/>
              <w:rPr>
                <w:rFonts w:eastAsia="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Before w:val="1"/>
          <w:wBefore w:w="16" w:type="dxa"/>
          <w:trHeight w:val="503" w:hRule="atLeast"/>
          <w:jc w:val="center"/>
        </w:trPr>
        <w:tc>
          <w:tcPr>
            <w:tcW w:w="530" w:type="dxa"/>
            <w:vMerge w:val="restart"/>
            <w:vAlign w:val="center"/>
          </w:tcPr>
          <w:p>
            <w:pPr>
              <w:pStyle w:val="79"/>
              <w:adjustRightInd w:val="0"/>
              <w:snapToGrid w:val="0"/>
              <w:jc w:val="center"/>
              <w:rPr>
                <w:rFonts w:eastAsia="仿宋"/>
                <w:color w:val="auto"/>
                <w:sz w:val="21"/>
                <w:szCs w:val="21"/>
                <w:highlight w:val="none"/>
              </w:rPr>
            </w:pPr>
          </w:p>
        </w:tc>
        <w:tc>
          <w:tcPr>
            <w:tcW w:w="861" w:type="dxa"/>
            <w:vMerge w:val="restart"/>
            <w:vAlign w:val="center"/>
          </w:tcPr>
          <w:p>
            <w:pPr>
              <w:adjustRightInd w:val="0"/>
              <w:snapToGrid w:val="0"/>
              <w:jc w:val="center"/>
              <w:rPr>
                <w:rFonts w:eastAsia="仿宋"/>
                <w:color w:val="auto"/>
                <w:szCs w:val="21"/>
                <w:highlight w:val="none"/>
              </w:rPr>
            </w:pPr>
            <w:r>
              <w:rPr>
                <w:rFonts w:eastAsia="仿宋"/>
                <w:color w:val="auto"/>
                <w:spacing w:val="2"/>
                <w:szCs w:val="21"/>
                <w:highlight w:val="none"/>
              </w:rPr>
              <w:t>一般项目</w:t>
            </w:r>
          </w:p>
        </w:tc>
        <w:tc>
          <w:tcPr>
            <w:tcW w:w="1584" w:type="dxa"/>
            <w:vMerge w:val="restart"/>
            <w:vAlign w:val="center"/>
          </w:tcPr>
          <w:p>
            <w:pPr>
              <w:adjustRightInd w:val="0"/>
              <w:snapToGrid w:val="0"/>
              <w:jc w:val="center"/>
              <w:rPr>
                <w:rFonts w:eastAsia="仿宋"/>
                <w:color w:val="auto"/>
                <w:szCs w:val="21"/>
                <w:highlight w:val="none"/>
              </w:rPr>
            </w:pPr>
            <w:r>
              <w:rPr>
                <w:rFonts w:eastAsia="仿宋"/>
                <w:color w:val="auto"/>
                <w:szCs w:val="21"/>
                <w:highlight w:val="none"/>
              </w:rPr>
              <w:t>长度</w:t>
            </w:r>
          </w:p>
        </w:tc>
        <w:tc>
          <w:tcPr>
            <w:tcW w:w="1455" w:type="dxa"/>
            <w:gridSpan w:val="2"/>
            <w:vAlign w:val="center"/>
          </w:tcPr>
          <w:p>
            <w:pPr>
              <w:adjustRightInd w:val="0"/>
              <w:snapToGrid w:val="0"/>
              <w:jc w:val="center"/>
              <w:rPr>
                <w:rFonts w:eastAsia="仿宋"/>
                <w:color w:val="auto"/>
                <w:szCs w:val="21"/>
                <w:highlight w:val="none"/>
              </w:rPr>
            </w:pPr>
            <w:r>
              <w:rPr>
                <w:rFonts w:eastAsia="仿宋"/>
                <w:color w:val="auto"/>
                <w:spacing w:val="-6"/>
                <w:szCs w:val="21"/>
                <w:highlight w:val="none"/>
              </w:rPr>
              <w:t>≤6m</w:t>
            </w:r>
          </w:p>
        </w:tc>
        <w:tc>
          <w:tcPr>
            <w:tcW w:w="942" w:type="dxa"/>
            <w:vAlign w:val="center"/>
          </w:tcPr>
          <w:p>
            <w:pPr>
              <w:adjustRightInd w:val="0"/>
              <w:snapToGrid w:val="0"/>
              <w:jc w:val="center"/>
              <w:rPr>
                <w:rFonts w:eastAsia="仿宋"/>
                <w:color w:val="auto"/>
                <w:szCs w:val="21"/>
                <w:highlight w:val="none"/>
              </w:rPr>
            </w:pPr>
            <w:r>
              <w:rPr>
                <w:rFonts w:eastAsia="仿宋"/>
                <w:color w:val="auto"/>
                <w:spacing w:val="-2"/>
                <w:szCs w:val="21"/>
                <w:highlight w:val="none"/>
              </w:rPr>
              <w:t>1，-2</w:t>
            </w:r>
          </w:p>
        </w:tc>
        <w:tc>
          <w:tcPr>
            <w:tcW w:w="1525" w:type="dxa"/>
            <w:gridSpan w:val="3"/>
            <w:vAlign w:val="center"/>
          </w:tcPr>
          <w:p>
            <w:pPr>
              <w:pStyle w:val="79"/>
              <w:adjustRightInd w:val="0"/>
              <w:snapToGrid w:val="0"/>
              <w:jc w:val="center"/>
              <w:rPr>
                <w:rFonts w:eastAsia="仿宋"/>
                <w:color w:val="auto"/>
                <w:sz w:val="21"/>
                <w:szCs w:val="21"/>
                <w:highlight w:val="none"/>
              </w:rPr>
            </w:pPr>
          </w:p>
        </w:tc>
        <w:tc>
          <w:tcPr>
            <w:tcW w:w="976" w:type="dxa"/>
            <w:vAlign w:val="center"/>
          </w:tcPr>
          <w:p>
            <w:pPr>
              <w:pStyle w:val="79"/>
              <w:adjustRightInd w:val="0"/>
              <w:snapToGrid w:val="0"/>
              <w:jc w:val="center"/>
              <w:rPr>
                <w:rFonts w:eastAsia="仿宋"/>
                <w:color w:val="auto"/>
                <w:sz w:val="21"/>
                <w:szCs w:val="21"/>
                <w:highlight w:val="none"/>
              </w:rPr>
            </w:pPr>
          </w:p>
        </w:tc>
        <w:tc>
          <w:tcPr>
            <w:tcW w:w="1872" w:type="dxa"/>
            <w:vMerge w:val="continue"/>
            <w:vAlign w:val="center"/>
          </w:tcPr>
          <w:p>
            <w:pPr>
              <w:pStyle w:val="79"/>
              <w:adjustRightInd w:val="0"/>
              <w:snapToGrid w:val="0"/>
              <w:jc w:val="center"/>
              <w:rPr>
                <w:rFonts w:eastAsia="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Before w:val="1"/>
          <w:wBefore w:w="16" w:type="dxa"/>
          <w:trHeight w:val="503" w:hRule="atLeast"/>
          <w:jc w:val="center"/>
        </w:trPr>
        <w:tc>
          <w:tcPr>
            <w:tcW w:w="530" w:type="dxa"/>
            <w:vMerge w:val="continue"/>
            <w:vAlign w:val="center"/>
          </w:tcPr>
          <w:p>
            <w:pPr>
              <w:pStyle w:val="79"/>
              <w:adjustRightInd w:val="0"/>
              <w:snapToGrid w:val="0"/>
              <w:jc w:val="center"/>
              <w:rPr>
                <w:rFonts w:eastAsia="仿宋"/>
                <w:color w:val="auto"/>
                <w:sz w:val="21"/>
                <w:szCs w:val="21"/>
                <w:highlight w:val="none"/>
              </w:rPr>
            </w:pPr>
          </w:p>
        </w:tc>
        <w:tc>
          <w:tcPr>
            <w:tcW w:w="861" w:type="dxa"/>
            <w:vMerge w:val="continue"/>
            <w:vAlign w:val="center"/>
          </w:tcPr>
          <w:p>
            <w:pPr>
              <w:pStyle w:val="79"/>
              <w:adjustRightInd w:val="0"/>
              <w:snapToGrid w:val="0"/>
              <w:jc w:val="center"/>
              <w:rPr>
                <w:rFonts w:eastAsia="仿宋"/>
                <w:color w:val="auto"/>
                <w:sz w:val="21"/>
                <w:szCs w:val="21"/>
                <w:highlight w:val="none"/>
              </w:rPr>
            </w:pPr>
          </w:p>
        </w:tc>
        <w:tc>
          <w:tcPr>
            <w:tcW w:w="1584" w:type="dxa"/>
            <w:vMerge w:val="continue"/>
            <w:vAlign w:val="center"/>
          </w:tcPr>
          <w:p>
            <w:pPr>
              <w:pStyle w:val="79"/>
              <w:adjustRightInd w:val="0"/>
              <w:snapToGrid w:val="0"/>
              <w:jc w:val="center"/>
              <w:rPr>
                <w:rFonts w:eastAsia="仿宋"/>
                <w:color w:val="auto"/>
                <w:sz w:val="21"/>
                <w:szCs w:val="21"/>
                <w:highlight w:val="none"/>
              </w:rPr>
            </w:pPr>
          </w:p>
        </w:tc>
        <w:tc>
          <w:tcPr>
            <w:tcW w:w="1455" w:type="dxa"/>
            <w:gridSpan w:val="2"/>
            <w:vAlign w:val="center"/>
          </w:tcPr>
          <w:p>
            <w:pPr>
              <w:adjustRightInd w:val="0"/>
              <w:snapToGrid w:val="0"/>
              <w:jc w:val="center"/>
              <w:rPr>
                <w:rFonts w:eastAsia="仿宋"/>
                <w:color w:val="auto"/>
                <w:szCs w:val="21"/>
                <w:highlight w:val="none"/>
              </w:rPr>
            </w:pPr>
            <w:r>
              <w:rPr>
                <w:rFonts w:eastAsia="仿宋"/>
                <w:color w:val="auto"/>
                <w:spacing w:val="1"/>
                <w:szCs w:val="21"/>
                <w:highlight w:val="none"/>
              </w:rPr>
              <w:t>&gt;6m且≤12m</w:t>
            </w:r>
          </w:p>
        </w:tc>
        <w:tc>
          <w:tcPr>
            <w:tcW w:w="942" w:type="dxa"/>
            <w:vAlign w:val="center"/>
          </w:tcPr>
          <w:p>
            <w:pPr>
              <w:adjustRightInd w:val="0"/>
              <w:snapToGrid w:val="0"/>
              <w:jc w:val="center"/>
              <w:rPr>
                <w:rFonts w:eastAsia="仿宋"/>
                <w:color w:val="auto"/>
                <w:szCs w:val="21"/>
                <w:highlight w:val="none"/>
              </w:rPr>
            </w:pPr>
            <w:r>
              <w:rPr>
                <w:rFonts w:eastAsia="仿宋"/>
                <w:color w:val="auto"/>
                <w:spacing w:val="-4"/>
                <w:position w:val="2"/>
                <w:szCs w:val="21"/>
                <w:highlight w:val="none"/>
              </w:rPr>
              <w:t>2</w:t>
            </w:r>
            <w:r>
              <w:rPr>
                <w:rFonts w:eastAsia="仿宋"/>
                <w:color w:val="auto"/>
                <w:spacing w:val="-2"/>
                <w:szCs w:val="21"/>
                <w:highlight w:val="none"/>
              </w:rPr>
              <w:t>，</w:t>
            </w:r>
            <w:r>
              <w:rPr>
                <w:rFonts w:eastAsia="仿宋"/>
                <w:color w:val="auto"/>
                <w:spacing w:val="-4"/>
                <w:position w:val="2"/>
                <w:szCs w:val="21"/>
                <w:highlight w:val="none"/>
              </w:rPr>
              <w:t>-4</w:t>
            </w:r>
          </w:p>
        </w:tc>
        <w:tc>
          <w:tcPr>
            <w:tcW w:w="1525" w:type="dxa"/>
            <w:gridSpan w:val="3"/>
            <w:vAlign w:val="center"/>
          </w:tcPr>
          <w:p>
            <w:pPr>
              <w:pStyle w:val="79"/>
              <w:adjustRightInd w:val="0"/>
              <w:snapToGrid w:val="0"/>
              <w:jc w:val="center"/>
              <w:rPr>
                <w:rFonts w:eastAsia="仿宋"/>
                <w:color w:val="auto"/>
                <w:sz w:val="21"/>
                <w:szCs w:val="21"/>
                <w:highlight w:val="none"/>
              </w:rPr>
            </w:pPr>
          </w:p>
        </w:tc>
        <w:tc>
          <w:tcPr>
            <w:tcW w:w="976" w:type="dxa"/>
            <w:vAlign w:val="center"/>
          </w:tcPr>
          <w:p>
            <w:pPr>
              <w:pStyle w:val="79"/>
              <w:adjustRightInd w:val="0"/>
              <w:snapToGrid w:val="0"/>
              <w:jc w:val="center"/>
              <w:rPr>
                <w:rFonts w:eastAsia="仿宋"/>
                <w:color w:val="auto"/>
                <w:sz w:val="21"/>
                <w:szCs w:val="21"/>
                <w:highlight w:val="none"/>
              </w:rPr>
            </w:pPr>
          </w:p>
        </w:tc>
        <w:tc>
          <w:tcPr>
            <w:tcW w:w="1872" w:type="dxa"/>
            <w:vMerge w:val="continue"/>
            <w:vAlign w:val="center"/>
          </w:tcPr>
          <w:p>
            <w:pPr>
              <w:pStyle w:val="79"/>
              <w:adjustRightInd w:val="0"/>
              <w:snapToGrid w:val="0"/>
              <w:jc w:val="center"/>
              <w:rPr>
                <w:rFonts w:eastAsia="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Before w:val="1"/>
          <w:wBefore w:w="16" w:type="dxa"/>
          <w:trHeight w:val="503" w:hRule="atLeast"/>
          <w:jc w:val="center"/>
        </w:trPr>
        <w:tc>
          <w:tcPr>
            <w:tcW w:w="530" w:type="dxa"/>
            <w:vMerge w:val="continue"/>
            <w:shd w:val="clear" w:color="auto" w:fill="auto"/>
            <w:vAlign w:val="center"/>
          </w:tcPr>
          <w:p>
            <w:pPr>
              <w:pStyle w:val="79"/>
              <w:adjustRightInd w:val="0"/>
              <w:snapToGrid w:val="0"/>
              <w:jc w:val="center"/>
              <w:rPr>
                <w:rFonts w:eastAsia="仿宋"/>
                <w:color w:val="auto"/>
                <w:sz w:val="21"/>
                <w:szCs w:val="21"/>
                <w:highlight w:val="none"/>
              </w:rPr>
            </w:pPr>
          </w:p>
        </w:tc>
        <w:tc>
          <w:tcPr>
            <w:tcW w:w="861" w:type="dxa"/>
            <w:vMerge w:val="continue"/>
            <w:shd w:val="clear" w:color="auto" w:fill="auto"/>
            <w:vAlign w:val="center"/>
          </w:tcPr>
          <w:p>
            <w:pPr>
              <w:pStyle w:val="79"/>
              <w:adjustRightInd w:val="0"/>
              <w:snapToGrid w:val="0"/>
              <w:jc w:val="center"/>
              <w:rPr>
                <w:rFonts w:eastAsia="仿宋"/>
                <w:color w:val="auto"/>
                <w:sz w:val="21"/>
                <w:szCs w:val="21"/>
                <w:highlight w:val="none"/>
              </w:rPr>
            </w:pPr>
          </w:p>
        </w:tc>
        <w:tc>
          <w:tcPr>
            <w:tcW w:w="1584" w:type="dxa"/>
            <w:vMerge w:val="continue"/>
            <w:shd w:val="clear" w:color="auto" w:fill="auto"/>
            <w:vAlign w:val="center"/>
          </w:tcPr>
          <w:p>
            <w:pPr>
              <w:pStyle w:val="79"/>
              <w:adjustRightInd w:val="0"/>
              <w:snapToGrid w:val="0"/>
              <w:jc w:val="center"/>
              <w:rPr>
                <w:rFonts w:eastAsia="仿宋"/>
                <w:color w:val="auto"/>
                <w:sz w:val="21"/>
                <w:szCs w:val="21"/>
                <w:highlight w:val="none"/>
              </w:rPr>
            </w:pPr>
          </w:p>
        </w:tc>
        <w:tc>
          <w:tcPr>
            <w:tcW w:w="1455" w:type="dxa"/>
            <w:gridSpan w:val="2"/>
            <w:shd w:val="clear" w:color="auto" w:fill="auto"/>
            <w:vAlign w:val="center"/>
          </w:tcPr>
          <w:p>
            <w:pPr>
              <w:adjustRightInd w:val="0"/>
              <w:snapToGrid w:val="0"/>
              <w:jc w:val="center"/>
              <w:rPr>
                <w:rFonts w:eastAsia="仿宋"/>
                <w:color w:val="auto"/>
                <w:szCs w:val="21"/>
                <w:highlight w:val="none"/>
              </w:rPr>
            </w:pPr>
            <w:r>
              <w:rPr>
                <w:rFonts w:eastAsia="仿宋"/>
                <w:color w:val="auto"/>
                <w:spacing w:val="6"/>
                <w:szCs w:val="21"/>
                <w:highlight w:val="none"/>
              </w:rPr>
              <w:t>&gt;12m</w:t>
            </w:r>
          </w:p>
        </w:tc>
        <w:tc>
          <w:tcPr>
            <w:tcW w:w="942" w:type="dxa"/>
            <w:shd w:val="clear" w:color="auto" w:fill="auto"/>
            <w:vAlign w:val="center"/>
          </w:tcPr>
          <w:p>
            <w:pPr>
              <w:adjustRightInd w:val="0"/>
              <w:snapToGrid w:val="0"/>
              <w:jc w:val="center"/>
              <w:rPr>
                <w:rFonts w:eastAsia="仿宋"/>
                <w:color w:val="auto"/>
                <w:szCs w:val="21"/>
                <w:highlight w:val="none"/>
              </w:rPr>
            </w:pPr>
            <w:r>
              <w:rPr>
                <w:rFonts w:eastAsia="仿宋"/>
                <w:color w:val="auto"/>
                <w:spacing w:val="-2"/>
                <w:position w:val="2"/>
                <w:szCs w:val="21"/>
                <w:highlight w:val="none"/>
              </w:rPr>
              <w:t>3</w:t>
            </w:r>
            <w:r>
              <w:rPr>
                <w:rFonts w:eastAsia="仿宋"/>
                <w:color w:val="auto"/>
                <w:spacing w:val="-2"/>
                <w:szCs w:val="21"/>
                <w:highlight w:val="none"/>
              </w:rPr>
              <w:t>，</w:t>
            </w:r>
            <w:r>
              <w:rPr>
                <w:rFonts w:eastAsia="仿宋"/>
                <w:color w:val="auto"/>
                <w:spacing w:val="-2"/>
                <w:position w:val="2"/>
                <w:szCs w:val="21"/>
                <w:highlight w:val="none"/>
              </w:rPr>
              <w:t>-5</w:t>
            </w:r>
          </w:p>
        </w:tc>
        <w:tc>
          <w:tcPr>
            <w:tcW w:w="1525" w:type="dxa"/>
            <w:gridSpan w:val="3"/>
            <w:shd w:val="clear" w:color="auto" w:fill="auto"/>
            <w:vAlign w:val="center"/>
          </w:tcPr>
          <w:p>
            <w:pPr>
              <w:pStyle w:val="79"/>
              <w:adjustRightInd w:val="0"/>
              <w:snapToGrid w:val="0"/>
              <w:jc w:val="center"/>
              <w:rPr>
                <w:rFonts w:eastAsia="仿宋"/>
                <w:color w:val="auto"/>
                <w:sz w:val="21"/>
                <w:szCs w:val="21"/>
                <w:highlight w:val="none"/>
              </w:rPr>
            </w:pPr>
          </w:p>
        </w:tc>
        <w:tc>
          <w:tcPr>
            <w:tcW w:w="976" w:type="dxa"/>
            <w:shd w:val="clear" w:color="auto" w:fill="FFFFFF"/>
            <w:vAlign w:val="center"/>
          </w:tcPr>
          <w:p>
            <w:pPr>
              <w:pStyle w:val="79"/>
              <w:adjustRightInd w:val="0"/>
              <w:snapToGrid w:val="0"/>
              <w:jc w:val="center"/>
              <w:rPr>
                <w:rFonts w:eastAsia="仿宋"/>
                <w:color w:val="auto"/>
                <w:sz w:val="21"/>
                <w:szCs w:val="21"/>
                <w:highlight w:val="none"/>
              </w:rPr>
            </w:pPr>
          </w:p>
        </w:tc>
        <w:tc>
          <w:tcPr>
            <w:tcW w:w="1872" w:type="dxa"/>
            <w:vMerge w:val="continue"/>
            <w:vAlign w:val="center"/>
          </w:tcPr>
          <w:p>
            <w:pPr>
              <w:pStyle w:val="79"/>
              <w:adjustRightInd w:val="0"/>
              <w:snapToGrid w:val="0"/>
              <w:jc w:val="center"/>
              <w:rPr>
                <w:rFonts w:eastAsia="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Before w:val="1"/>
          <w:wBefore w:w="16" w:type="dxa"/>
          <w:trHeight w:val="503" w:hRule="atLeast"/>
          <w:jc w:val="center"/>
        </w:trPr>
        <w:tc>
          <w:tcPr>
            <w:tcW w:w="530" w:type="dxa"/>
            <w:vMerge w:val="continue"/>
            <w:shd w:val="clear" w:color="auto" w:fill="auto"/>
            <w:vAlign w:val="center"/>
          </w:tcPr>
          <w:p>
            <w:pPr>
              <w:pStyle w:val="79"/>
              <w:adjustRightInd w:val="0"/>
              <w:snapToGrid w:val="0"/>
              <w:jc w:val="center"/>
              <w:rPr>
                <w:rFonts w:eastAsia="仿宋"/>
                <w:color w:val="auto"/>
                <w:sz w:val="21"/>
                <w:szCs w:val="21"/>
                <w:highlight w:val="none"/>
              </w:rPr>
            </w:pPr>
          </w:p>
        </w:tc>
        <w:tc>
          <w:tcPr>
            <w:tcW w:w="861" w:type="dxa"/>
            <w:vMerge w:val="continue"/>
            <w:shd w:val="clear" w:color="auto" w:fill="auto"/>
            <w:vAlign w:val="center"/>
          </w:tcPr>
          <w:p>
            <w:pPr>
              <w:pStyle w:val="79"/>
              <w:adjustRightInd w:val="0"/>
              <w:snapToGrid w:val="0"/>
              <w:jc w:val="center"/>
              <w:rPr>
                <w:rFonts w:eastAsia="仿宋"/>
                <w:color w:val="auto"/>
                <w:sz w:val="21"/>
                <w:szCs w:val="21"/>
                <w:highlight w:val="none"/>
              </w:rPr>
            </w:pPr>
          </w:p>
        </w:tc>
        <w:tc>
          <w:tcPr>
            <w:tcW w:w="1584" w:type="dxa"/>
            <w:vMerge w:val="restart"/>
            <w:shd w:val="clear" w:color="auto" w:fill="FFFFFF"/>
            <w:vAlign w:val="center"/>
          </w:tcPr>
          <w:p>
            <w:pPr>
              <w:adjustRightInd w:val="0"/>
              <w:snapToGrid w:val="0"/>
              <w:jc w:val="center"/>
              <w:rPr>
                <w:rFonts w:eastAsia="仿宋"/>
                <w:color w:val="auto"/>
                <w:szCs w:val="21"/>
                <w:highlight w:val="none"/>
              </w:rPr>
            </w:pPr>
            <w:r>
              <w:rPr>
                <w:rFonts w:eastAsia="仿宋"/>
                <w:color w:val="auto"/>
                <w:spacing w:val="-3"/>
                <w:szCs w:val="21"/>
                <w:highlight w:val="none"/>
              </w:rPr>
              <w:t>宽度</w:t>
            </w:r>
          </w:p>
        </w:tc>
        <w:tc>
          <w:tcPr>
            <w:tcW w:w="1455" w:type="dxa"/>
            <w:gridSpan w:val="2"/>
            <w:vAlign w:val="center"/>
          </w:tcPr>
          <w:p>
            <w:pPr>
              <w:adjustRightInd w:val="0"/>
              <w:snapToGrid w:val="0"/>
              <w:jc w:val="center"/>
              <w:rPr>
                <w:rFonts w:eastAsia="仿宋"/>
                <w:color w:val="auto"/>
                <w:szCs w:val="21"/>
                <w:highlight w:val="none"/>
              </w:rPr>
            </w:pPr>
            <w:r>
              <w:rPr>
                <w:rFonts w:eastAsia="仿宋"/>
                <w:color w:val="auto"/>
                <w:spacing w:val="-6"/>
                <w:szCs w:val="21"/>
                <w:highlight w:val="none"/>
              </w:rPr>
              <w:t>≤6 m</w:t>
            </w:r>
          </w:p>
        </w:tc>
        <w:tc>
          <w:tcPr>
            <w:tcW w:w="942" w:type="dxa"/>
            <w:vAlign w:val="center"/>
          </w:tcPr>
          <w:p>
            <w:pPr>
              <w:adjustRightInd w:val="0"/>
              <w:snapToGrid w:val="0"/>
              <w:jc w:val="center"/>
              <w:rPr>
                <w:rFonts w:eastAsia="仿宋"/>
                <w:color w:val="auto"/>
                <w:szCs w:val="21"/>
                <w:highlight w:val="none"/>
              </w:rPr>
            </w:pPr>
            <w:r>
              <w:rPr>
                <w:rFonts w:eastAsia="仿宋"/>
                <w:color w:val="auto"/>
                <w:spacing w:val="-2"/>
                <w:szCs w:val="21"/>
                <w:highlight w:val="none"/>
              </w:rPr>
              <w:t>1，-2</w:t>
            </w:r>
          </w:p>
        </w:tc>
        <w:tc>
          <w:tcPr>
            <w:tcW w:w="1525" w:type="dxa"/>
            <w:gridSpan w:val="3"/>
            <w:vAlign w:val="center"/>
          </w:tcPr>
          <w:p>
            <w:pPr>
              <w:pStyle w:val="79"/>
              <w:adjustRightInd w:val="0"/>
              <w:snapToGrid w:val="0"/>
              <w:jc w:val="center"/>
              <w:rPr>
                <w:rFonts w:eastAsia="仿宋"/>
                <w:color w:val="auto"/>
                <w:sz w:val="21"/>
                <w:szCs w:val="21"/>
                <w:highlight w:val="none"/>
              </w:rPr>
            </w:pPr>
          </w:p>
        </w:tc>
        <w:tc>
          <w:tcPr>
            <w:tcW w:w="976" w:type="dxa"/>
            <w:vAlign w:val="center"/>
          </w:tcPr>
          <w:p>
            <w:pPr>
              <w:pStyle w:val="79"/>
              <w:adjustRightInd w:val="0"/>
              <w:snapToGrid w:val="0"/>
              <w:jc w:val="center"/>
              <w:rPr>
                <w:rFonts w:eastAsia="仿宋"/>
                <w:color w:val="auto"/>
                <w:sz w:val="21"/>
                <w:szCs w:val="21"/>
                <w:highlight w:val="none"/>
              </w:rPr>
            </w:pPr>
          </w:p>
        </w:tc>
        <w:tc>
          <w:tcPr>
            <w:tcW w:w="1872" w:type="dxa"/>
            <w:vMerge w:val="continue"/>
            <w:vAlign w:val="center"/>
          </w:tcPr>
          <w:p>
            <w:pPr>
              <w:pStyle w:val="79"/>
              <w:adjustRightInd w:val="0"/>
              <w:snapToGrid w:val="0"/>
              <w:jc w:val="center"/>
              <w:rPr>
                <w:rFonts w:eastAsia="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Before w:val="1"/>
          <w:wBefore w:w="16" w:type="dxa"/>
          <w:trHeight w:val="503" w:hRule="atLeast"/>
          <w:jc w:val="center"/>
        </w:trPr>
        <w:tc>
          <w:tcPr>
            <w:tcW w:w="530" w:type="dxa"/>
            <w:vMerge w:val="continue"/>
            <w:vAlign w:val="center"/>
          </w:tcPr>
          <w:p>
            <w:pPr>
              <w:pStyle w:val="79"/>
              <w:adjustRightInd w:val="0"/>
              <w:snapToGrid w:val="0"/>
              <w:jc w:val="center"/>
              <w:rPr>
                <w:rFonts w:eastAsia="仿宋"/>
                <w:color w:val="auto"/>
                <w:sz w:val="21"/>
                <w:szCs w:val="21"/>
                <w:highlight w:val="none"/>
              </w:rPr>
            </w:pPr>
          </w:p>
        </w:tc>
        <w:tc>
          <w:tcPr>
            <w:tcW w:w="861" w:type="dxa"/>
            <w:vMerge w:val="continue"/>
            <w:vAlign w:val="center"/>
          </w:tcPr>
          <w:p>
            <w:pPr>
              <w:pStyle w:val="79"/>
              <w:adjustRightInd w:val="0"/>
              <w:snapToGrid w:val="0"/>
              <w:jc w:val="center"/>
              <w:rPr>
                <w:rFonts w:eastAsia="仿宋"/>
                <w:color w:val="auto"/>
                <w:sz w:val="21"/>
                <w:szCs w:val="21"/>
                <w:highlight w:val="none"/>
              </w:rPr>
            </w:pPr>
          </w:p>
        </w:tc>
        <w:tc>
          <w:tcPr>
            <w:tcW w:w="1584" w:type="dxa"/>
            <w:vMerge w:val="continue"/>
            <w:vAlign w:val="center"/>
          </w:tcPr>
          <w:p>
            <w:pPr>
              <w:pStyle w:val="79"/>
              <w:adjustRightInd w:val="0"/>
              <w:snapToGrid w:val="0"/>
              <w:jc w:val="center"/>
              <w:rPr>
                <w:rFonts w:eastAsia="仿宋"/>
                <w:color w:val="auto"/>
                <w:sz w:val="21"/>
                <w:szCs w:val="21"/>
                <w:highlight w:val="none"/>
              </w:rPr>
            </w:pPr>
          </w:p>
        </w:tc>
        <w:tc>
          <w:tcPr>
            <w:tcW w:w="1455" w:type="dxa"/>
            <w:gridSpan w:val="2"/>
            <w:vAlign w:val="center"/>
          </w:tcPr>
          <w:p>
            <w:pPr>
              <w:adjustRightInd w:val="0"/>
              <w:snapToGrid w:val="0"/>
              <w:jc w:val="center"/>
              <w:rPr>
                <w:rFonts w:eastAsia="仿宋"/>
                <w:color w:val="auto"/>
                <w:szCs w:val="21"/>
                <w:highlight w:val="none"/>
              </w:rPr>
            </w:pPr>
            <w:r>
              <w:rPr>
                <w:rFonts w:eastAsia="仿宋"/>
                <w:color w:val="auto"/>
                <w:spacing w:val="1"/>
                <w:szCs w:val="21"/>
                <w:highlight w:val="none"/>
              </w:rPr>
              <w:t>&gt;6m且≤12m</w:t>
            </w:r>
          </w:p>
        </w:tc>
        <w:tc>
          <w:tcPr>
            <w:tcW w:w="942" w:type="dxa"/>
            <w:vAlign w:val="center"/>
          </w:tcPr>
          <w:p>
            <w:pPr>
              <w:adjustRightInd w:val="0"/>
              <w:snapToGrid w:val="0"/>
              <w:jc w:val="center"/>
              <w:rPr>
                <w:rFonts w:eastAsia="仿宋"/>
                <w:color w:val="auto"/>
                <w:szCs w:val="21"/>
                <w:highlight w:val="none"/>
              </w:rPr>
            </w:pPr>
            <w:r>
              <w:rPr>
                <w:rFonts w:eastAsia="仿宋"/>
                <w:color w:val="auto"/>
                <w:spacing w:val="-4"/>
                <w:position w:val="2"/>
                <w:szCs w:val="21"/>
                <w:highlight w:val="none"/>
              </w:rPr>
              <w:t>2</w:t>
            </w:r>
            <w:r>
              <w:rPr>
                <w:rFonts w:eastAsia="仿宋"/>
                <w:color w:val="auto"/>
                <w:spacing w:val="-2"/>
                <w:szCs w:val="21"/>
                <w:highlight w:val="none"/>
              </w:rPr>
              <w:t>，</w:t>
            </w:r>
            <w:r>
              <w:rPr>
                <w:rFonts w:eastAsia="仿宋"/>
                <w:color w:val="auto"/>
                <w:spacing w:val="-4"/>
                <w:position w:val="2"/>
                <w:szCs w:val="21"/>
                <w:highlight w:val="none"/>
              </w:rPr>
              <w:t>-4</w:t>
            </w:r>
          </w:p>
        </w:tc>
        <w:tc>
          <w:tcPr>
            <w:tcW w:w="1525" w:type="dxa"/>
            <w:gridSpan w:val="3"/>
            <w:vAlign w:val="center"/>
          </w:tcPr>
          <w:p>
            <w:pPr>
              <w:pStyle w:val="79"/>
              <w:adjustRightInd w:val="0"/>
              <w:snapToGrid w:val="0"/>
              <w:jc w:val="center"/>
              <w:rPr>
                <w:rFonts w:eastAsia="仿宋"/>
                <w:color w:val="auto"/>
                <w:sz w:val="21"/>
                <w:szCs w:val="21"/>
                <w:highlight w:val="none"/>
              </w:rPr>
            </w:pPr>
          </w:p>
        </w:tc>
        <w:tc>
          <w:tcPr>
            <w:tcW w:w="976" w:type="dxa"/>
            <w:vAlign w:val="center"/>
          </w:tcPr>
          <w:p>
            <w:pPr>
              <w:pStyle w:val="79"/>
              <w:adjustRightInd w:val="0"/>
              <w:snapToGrid w:val="0"/>
              <w:jc w:val="center"/>
              <w:rPr>
                <w:rFonts w:eastAsia="仿宋"/>
                <w:color w:val="auto"/>
                <w:sz w:val="21"/>
                <w:szCs w:val="21"/>
                <w:highlight w:val="none"/>
              </w:rPr>
            </w:pPr>
          </w:p>
        </w:tc>
        <w:tc>
          <w:tcPr>
            <w:tcW w:w="1872" w:type="dxa"/>
            <w:vMerge w:val="continue"/>
            <w:vAlign w:val="center"/>
          </w:tcPr>
          <w:p>
            <w:pPr>
              <w:pStyle w:val="79"/>
              <w:adjustRightInd w:val="0"/>
              <w:snapToGrid w:val="0"/>
              <w:jc w:val="center"/>
              <w:rPr>
                <w:rFonts w:eastAsia="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Before w:val="1"/>
          <w:wBefore w:w="16" w:type="dxa"/>
          <w:trHeight w:val="503" w:hRule="atLeast"/>
          <w:jc w:val="center"/>
        </w:trPr>
        <w:tc>
          <w:tcPr>
            <w:tcW w:w="530" w:type="dxa"/>
            <w:vMerge w:val="continue"/>
            <w:shd w:val="clear" w:color="auto" w:fill="auto"/>
            <w:vAlign w:val="center"/>
          </w:tcPr>
          <w:p>
            <w:pPr>
              <w:pStyle w:val="79"/>
              <w:adjustRightInd w:val="0"/>
              <w:snapToGrid w:val="0"/>
              <w:jc w:val="center"/>
              <w:rPr>
                <w:rFonts w:eastAsia="仿宋"/>
                <w:color w:val="auto"/>
                <w:sz w:val="21"/>
                <w:szCs w:val="21"/>
                <w:highlight w:val="none"/>
              </w:rPr>
            </w:pPr>
          </w:p>
        </w:tc>
        <w:tc>
          <w:tcPr>
            <w:tcW w:w="861" w:type="dxa"/>
            <w:vMerge w:val="continue"/>
            <w:shd w:val="clear" w:color="auto" w:fill="auto"/>
            <w:vAlign w:val="center"/>
          </w:tcPr>
          <w:p>
            <w:pPr>
              <w:pStyle w:val="79"/>
              <w:adjustRightInd w:val="0"/>
              <w:snapToGrid w:val="0"/>
              <w:jc w:val="center"/>
              <w:rPr>
                <w:rFonts w:eastAsia="仿宋"/>
                <w:color w:val="auto"/>
                <w:sz w:val="21"/>
                <w:szCs w:val="21"/>
                <w:highlight w:val="none"/>
              </w:rPr>
            </w:pPr>
          </w:p>
        </w:tc>
        <w:tc>
          <w:tcPr>
            <w:tcW w:w="1584" w:type="dxa"/>
            <w:vMerge w:val="continue"/>
            <w:shd w:val="clear" w:color="auto" w:fill="auto"/>
            <w:vAlign w:val="center"/>
          </w:tcPr>
          <w:p>
            <w:pPr>
              <w:pStyle w:val="79"/>
              <w:adjustRightInd w:val="0"/>
              <w:snapToGrid w:val="0"/>
              <w:jc w:val="center"/>
              <w:rPr>
                <w:rFonts w:eastAsia="仿宋"/>
                <w:color w:val="auto"/>
                <w:sz w:val="21"/>
                <w:szCs w:val="21"/>
                <w:highlight w:val="none"/>
              </w:rPr>
            </w:pPr>
          </w:p>
        </w:tc>
        <w:tc>
          <w:tcPr>
            <w:tcW w:w="1455" w:type="dxa"/>
            <w:gridSpan w:val="2"/>
            <w:shd w:val="clear" w:color="auto" w:fill="auto"/>
            <w:vAlign w:val="center"/>
          </w:tcPr>
          <w:p>
            <w:pPr>
              <w:adjustRightInd w:val="0"/>
              <w:snapToGrid w:val="0"/>
              <w:jc w:val="center"/>
              <w:rPr>
                <w:rFonts w:eastAsia="仿宋"/>
                <w:color w:val="auto"/>
                <w:szCs w:val="21"/>
                <w:highlight w:val="none"/>
              </w:rPr>
            </w:pPr>
            <w:r>
              <w:rPr>
                <w:rFonts w:eastAsia="仿宋"/>
                <w:color w:val="auto"/>
                <w:spacing w:val="6"/>
                <w:szCs w:val="21"/>
                <w:highlight w:val="none"/>
              </w:rPr>
              <w:t>&gt;12m</w:t>
            </w:r>
          </w:p>
        </w:tc>
        <w:tc>
          <w:tcPr>
            <w:tcW w:w="942" w:type="dxa"/>
            <w:shd w:val="clear" w:color="auto" w:fill="auto"/>
            <w:vAlign w:val="center"/>
          </w:tcPr>
          <w:p>
            <w:pPr>
              <w:adjustRightInd w:val="0"/>
              <w:snapToGrid w:val="0"/>
              <w:jc w:val="center"/>
              <w:rPr>
                <w:rFonts w:eastAsia="仿宋"/>
                <w:color w:val="auto"/>
                <w:szCs w:val="21"/>
                <w:highlight w:val="none"/>
              </w:rPr>
            </w:pPr>
            <w:r>
              <w:rPr>
                <w:rFonts w:eastAsia="仿宋"/>
                <w:color w:val="auto"/>
                <w:spacing w:val="-2"/>
                <w:position w:val="2"/>
                <w:szCs w:val="21"/>
                <w:highlight w:val="none"/>
              </w:rPr>
              <w:t>3</w:t>
            </w:r>
            <w:r>
              <w:rPr>
                <w:rFonts w:eastAsia="仿宋"/>
                <w:color w:val="auto"/>
                <w:spacing w:val="-2"/>
                <w:szCs w:val="21"/>
                <w:highlight w:val="none"/>
              </w:rPr>
              <w:t>，</w:t>
            </w:r>
            <w:r>
              <w:rPr>
                <w:rFonts w:eastAsia="仿宋"/>
                <w:color w:val="auto"/>
                <w:spacing w:val="-2"/>
                <w:position w:val="2"/>
                <w:szCs w:val="21"/>
                <w:highlight w:val="none"/>
              </w:rPr>
              <w:t>-5</w:t>
            </w:r>
          </w:p>
        </w:tc>
        <w:tc>
          <w:tcPr>
            <w:tcW w:w="1525" w:type="dxa"/>
            <w:gridSpan w:val="3"/>
            <w:shd w:val="clear" w:color="auto" w:fill="auto"/>
            <w:vAlign w:val="center"/>
          </w:tcPr>
          <w:p>
            <w:pPr>
              <w:pStyle w:val="79"/>
              <w:adjustRightInd w:val="0"/>
              <w:snapToGrid w:val="0"/>
              <w:jc w:val="center"/>
              <w:rPr>
                <w:rFonts w:eastAsia="仿宋"/>
                <w:color w:val="auto"/>
                <w:sz w:val="21"/>
                <w:szCs w:val="21"/>
                <w:highlight w:val="none"/>
              </w:rPr>
            </w:pPr>
          </w:p>
        </w:tc>
        <w:tc>
          <w:tcPr>
            <w:tcW w:w="976" w:type="dxa"/>
            <w:shd w:val="clear" w:color="auto" w:fill="FFFFFF"/>
            <w:vAlign w:val="center"/>
          </w:tcPr>
          <w:p>
            <w:pPr>
              <w:pStyle w:val="79"/>
              <w:adjustRightInd w:val="0"/>
              <w:snapToGrid w:val="0"/>
              <w:jc w:val="center"/>
              <w:rPr>
                <w:rFonts w:eastAsia="仿宋"/>
                <w:color w:val="auto"/>
                <w:sz w:val="21"/>
                <w:szCs w:val="21"/>
                <w:highlight w:val="none"/>
              </w:rPr>
            </w:pPr>
          </w:p>
        </w:tc>
        <w:tc>
          <w:tcPr>
            <w:tcW w:w="1872" w:type="dxa"/>
            <w:vMerge w:val="continue"/>
            <w:vAlign w:val="center"/>
          </w:tcPr>
          <w:p>
            <w:pPr>
              <w:pStyle w:val="79"/>
              <w:adjustRightInd w:val="0"/>
              <w:snapToGrid w:val="0"/>
              <w:jc w:val="center"/>
              <w:rPr>
                <w:rFonts w:eastAsia="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Before w:val="1"/>
          <w:wBefore w:w="16" w:type="dxa"/>
          <w:trHeight w:val="503" w:hRule="atLeast"/>
          <w:jc w:val="center"/>
        </w:trPr>
        <w:tc>
          <w:tcPr>
            <w:tcW w:w="530" w:type="dxa"/>
            <w:vMerge w:val="continue"/>
            <w:shd w:val="clear" w:color="auto" w:fill="auto"/>
            <w:vAlign w:val="center"/>
          </w:tcPr>
          <w:p>
            <w:pPr>
              <w:pStyle w:val="79"/>
              <w:adjustRightInd w:val="0"/>
              <w:snapToGrid w:val="0"/>
              <w:jc w:val="center"/>
              <w:rPr>
                <w:rFonts w:eastAsia="仿宋"/>
                <w:color w:val="auto"/>
                <w:sz w:val="21"/>
                <w:szCs w:val="21"/>
                <w:highlight w:val="none"/>
              </w:rPr>
            </w:pPr>
          </w:p>
        </w:tc>
        <w:tc>
          <w:tcPr>
            <w:tcW w:w="861" w:type="dxa"/>
            <w:vMerge w:val="continue"/>
            <w:shd w:val="clear" w:color="auto" w:fill="auto"/>
            <w:vAlign w:val="center"/>
          </w:tcPr>
          <w:p>
            <w:pPr>
              <w:pStyle w:val="79"/>
              <w:adjustRightInd w:val="0"/>
              <w:snapToGrid w:val="0"/>
              <w:jc w:val="center"/>
              <w:rPr>
                <w:rFonts w:eastAsia="仿宋"/>
                <w:color w:val="auto"/>
                <w:sz w:val="21"/>
                <w:szCs w:val="21"/>
                <w:highlight w:val="none"/>
              </w:rPr>
            </w:pPr>
          </w:p>
        </w:tc>
        <w:tc>
          <w:tcPr>
            <w:tcW w:w="1584" w:type="dxa"/>
            <w:vMerge w:val="restart"/>
            <w:shd w:val="clear" w:color="auto" w:fill="FFFFFF"/>
            <w:vAlign w:val="center"/>
          </w:tcPr>
          <w:p>
            <w:pPr>
              <w:adjustRightInd w:val="0"/>
              <w:snapToGrid w:val="0"/>
              <w:jc w:val="center"/>
              <w:rPr>
                <w:rFonts w:eastAsia="仿宋"/>
                <w:color w:val="auto"/>
                <w:szCs w:val="21"/>
                <w:highlight w:val="none"/>
              </w:rPr>
            </w:pPr>
            <w:r>
              <w:rPr>
                <w:rFonts w:eastAsia="仿宋"/>
                <w:color w:val="auto"/>
                <w:spacing w:val="-1"/>
                <w:szCs w:val="21"/>
                <w:highlight w:val="none"/>
              </w:rPr>
              <w:t>高度</w:t>
            </w:r>
          </w:p>
        </w:tc>
        <w:tc>
          <w:tcPr>
            <w:tcW w:w="1455" w:type="dxa"/>
            <w:gridSpan w:val="2"/>
            <w:vAlign w:val="center"/>
          </w:tcPr>
          <w:p>
            <w:pPr>
              <w:adjustRightInd w:val="0"/>
              <w:snapToGrid w:val="0"/>
              <w:jc w:val="center"/>
              <w:rPr>
                <w:rFonts w:eastAsia="仿宋"/>
                <w:color w:val="auto"/>
                <w:szCs w:val="21"/>
                <w:highlight w:val="none"/>
              </w:rPr>
            </w:pPr>
            <w:r>
              <w:rPr>
                <w:rFonts w:eastAsia="仿宋"/>
                <w:color w:val="auto"/>
                <w:spacing w:val="-6"/>
                <w:szCs w:val="21"/>
                <w:highlight w:val="none"/>
              </w:rPr>
              <w:t>≤6 m</w:t>
            </w:r>
          </w:p>
        </w:tc>
        <w:tc>
          <w:tcPr>
            <w:tcW w:w="942" w:type="dxa"/>
            <w:vAlign w:val="center"/>
          </w:tcPr>
          <w:p>
            <w:pPr>
              <w:adjustRightInd w:val="0"/>
              <w:snapToGrid w:val="0"/>
              <w:jc w:val="center"/>
              <w:rPr>
                <w:rFonts w:eastAsia="仿宋"/>
                <w:color w:val="auto"/>
                <w:szCs w:val="21"/>
                <w:highlight w:val="none"/>
              </w:rPr>
            </w:pPr>
            <w:r>
              <w:rPr>
                <w:rFonts w:eastAsia="仿宋"/>
                <w:color w:val="auto"/>
                <w:spacing w:val="-2"/>
                <w:szCs w:val="21"/>
                <w:highlight w:val="none"/>
              </w:rPr>
              <w:t>1，-2</w:t>
            </w:r>
          </w:p>
        </w:tc>
        <w:tc>
          <w:tcPr>
            <w:tcW w:w="1525" w:type="dxa"/>
            <w:gridSpan w:val="3"/>
            <w:vAlign w:val="center"/>
          </w:tcPr>
          <w:p>
            <w:pPr>
              <w:pStyle w:val="79"/>
              <w:adjustRightInd w:val="0"/>
              <w:snapToGrid w:val="0"/>
              <w:jc w:val="center"/>
              <w:rPr>
                <w:rFonts w:eastAsia="仿宋"/>
                <w:color w:val="auto"/>
                <w:sz w:val="21"/>
                <w:szCs w:val="21"/>
                <w:highlight w:val="none"/>
              </w:rPr>
            </w:pPr>
          </w:p>
        </w:tc>
        <w:tc>
          <w:tcPr>
            <w:tcW w:w="976" w:type="dxa"/>
            <w:vAlign w:val="center"/>
          </w:tcPr>
          <w:p>
            <w:pPr>
              <w:pStyle w:val="79"/>
              <w:adjustRightInd w:val="0"/>
              <w:snapToGrid w:val="0"/>
              <w:jc w:val="center"/>
              <w:rPr>
                <w:rFonts w:eastAsia="仿宋"/>
                <w:color w:val="auto"/>
                <w:sz w:val="21"/>
                <w:szCs w:val="21"/>
                <w:highlight w:val="none"/>
              </w:rPr>
            </w:pPr>
          </w:p>
        </w:tc>
        <w:tc>
          <w:tcPr>
            <w:tcW w:w="1872" w:type="dxa"/>
            <w:vMerge w:val="continue"/>
            <w:vAlign w:val="center"/>
          </w:tcPr>
          <w:p>
            <w:pPr>
              <w:pStyle w:val="79"/>
              <w:adjustRightInd w:val="0"/>
              <w:snapToGrid w:val="0"/>
              <w:jc w:val="center"/>
              <w:rPr>
                <w:rFonts w:eastAsia="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Before w:val="1"/>
          <w:wBefore w:w="16" w:type="dxa"/>
          <w:trHeight w:val="503" w:hRule="atLeast"/>
          <w:jc w:val="center"/>
        </w:trPr>
        <w:tc>
          <w:tcPr>
            <w:tcW w:w="530" w:type="dxa"/>
            <w:vMerge w:val="continue"/>
            <w:vAlign w:val="center"/>
          </w:tcPr>
          <w:p>
            <w:pPr>
              <w:pStyle w:val="79"/>
              <w:adjustRightInd w:val="0"/>
              <w:snapToGrid w:val="0"/>
              <w:jc w:val="center"/>
              <w:rPr>
                <w:rFonts w:eastAsia="仿宋"/>
                <w:color w:val="auto"/>
                <w:sz w:val="21"/>
                <w:szCs w:val="21"/>
                <w:highlight w:val="none"/>
              </w:rPr>
            </w:pPr>
          </w:p>
        </w:tc>
        <w:tc>
          <w:tcPr>
            <w:tcW w:w="861" w:type="dxa"/>
            <w:vMerge w:val="continue"/>
            <w:vAlign w:val="center"/>
          </w:tcPr>
          <w:p>
            <w:pPr>
              <w:pStyle w:val="79"/>
              <w:adjustRightInd w:val="0"/>
              <w:snapToGrid w:val="0"/>
              <w:jc w:val="center"/>
              <w:rPr>
                <w:rFonts w:eastAsia="仿宋"/>
                <w:color w:val="auto"/>
                <w:sz w:val="21"/>
                <w:szCs w:val="21"/>
                <w:highlight w:val="none"/>
              </w:rPr>
            </w:pPr>
          </w:p>
        </w:tc>
        <w:tc>
          <w:tcPr>
            <w:tcW w:w="1584" w:type="dxa"/>
            <w:vMerge w:val="continue"/>
            <w:vAlign w:val="center"/>
          </w:tcPr>
          <w:p>
            <w:pPr>
              <w:pStyle w:val="79"/>
              <w:adjustRightInd w:val="0"/>
              <w:snapToGrid w:val="0"/>
              <w:jc w:val="center"/>
              <w:rPr>
                <w:rFonts w:eastAsia="仿宋"/>
                <w:color w:val="auto"/>
                <w:sz w:val="21"/>
                <w:szCs w:val="21"/>
                <w:highlight w:val="none"/>
              </w:rPr>
            </w:pPr>
          </w:p>
        </w:tc>
        <w:tc>
          <w:tcPr>
            <w:tcW w:w="1455" w:type="dxa"/>
            <w:gridSpan w:val="2"/>
            <w:vAlign w:val="center"/>
          </w:tcPr>
          <w:p>
            <w:pPr>
              <w:adjustRightInd w:val="0"/>
              <w:snapToGrid w:val="0"/>
              <w:jc w:val="center"/>
              <w:rPr>
                <w:rFonts w:eastAsia="仿宋"/>
                <w:color w:val="auto"/>
                <w:szCs w:val="21"/>
                <w:highlight w:val="none"/>
              </w:rPr>
            </w:pPr>
            <w:r>
              <w:rPr>
                <w:rFonts w:eastAsia="仿宋"/>
                <w:color w:val="auto"/>
                <w:spacing w:val="1"/>
                <w:szCs w:val="21"/>
                <w:highlight w:val="none"/>
              </w:rPr>
              <w:t>&gt;6m且≤12m</w:t>
            </w:r>
          </w:p>
        </w:tc>
        <w:tc>
          <w:tcPr>
            <w:tcW w:w="942" w:type="dxa"/>
            <w:vAlign w:val="center"/>
          </w:tcPr>
          <w:p>
            <w:pPr>
              <w:adjustRightInd w:val="0"/>
              <w:snapToGrid w:val="0"/>
              <w:jc w:val="center"/>
              <w:rPr>
                <w:rFonts w:eastAsia="仿宋"/>
                <w:color w:val="auto"/>
                <w:szCs w:val="21"/>
                <w:highlight w:val="none"/>
              </w:rPr>
            </w:pPr>
            <w:r>
              <w:rPr>
                <w:rFonts w:eastAsia="仿宋"/>
                <w:color w:val="auto"/>
                <w:spacing w:val="-4"/>
                <w:position w:val="2"/>
                <w:szCs w:val="21"/>
                <w:highlight w:val="none"/>
              </w:rPr>
              <w:t>2</w:t>
            </w:r>
            <w:r>
              <w:rPr>
                <w:rFonts w:eastAsia="仿宋"/>
                <w:color w:val="auto"/>
                <w:spacing w:val="-2"/>
                <w:szCs w:val="21"/>
                <w:highlight w:val="none"/>
              </w:rPr>
              <w:t>，</w:t>
            </w:r>
            <w:r>
              <w:rPr>
                <w:rFonts w:eastAsia="仿宋"/>
                <w:color w:val="auto"/>
                <w:spacing w:val="-4"/>
                <w:position w:val="2"/>
                <w:szCs w:val="21"/>
                <w:highlight w:val="none"/>
              </w:rPr>
              <w:t>-4</w:t>
            </w:r>
          </w:p>
        </w:tc>
        <w:tc>
          <w:tcPr>
            <w:tcW w:w="1525" w:type="dxa"/>
            <w:gridSpan w:val="3"/>
            <w:vAlign w:val="center"/>
          </w:tcPr>
          <w:p>
            <w:pPr>
              <w:pStyle w:val="79"/>
              <w:adjustRightInd w:val="0"/>
              <w:snapToGrid w:val="0"/>
              <w:jc w:val="center"/>
              <w:rPr>
                <w:rFonts w:eastAsia="仿宋"/>
                <w:color w:val="auto"/>
                <w:sz w:val="21"/>
                <w:szCs w:val="21"/>
                <w:highlight w:val="none"/>
              </w:rPr>
            </w:pPr>
          </w:p>
        </w:tc>
        <w:tc>
          <w:tcPr>
            <w:tcW w:w="976" w:type="dxa"/>
            <w:vAlign w:val="center"/>
          </w:tcPr>
          <w:p>
            <w:pPr>
              <w:pStyle w:val="79"/>
              <w:adjustRightInd w:val="0"/>
              <w:snapToGrid w:val="0"/>
              <w:jc w:val="center"/>
              <w:rPr>
                <w:rFonts w:eastAsia="仿宋"/>
                <w:color w:val="auto"/>
                <w:sz w:val="21"/>
                <w:szCs w:val="21"/>
                <w:highlight w:val="none"/>
              </w:rPr>
            </w:pPr>
          </w:p>
        </w:tc>
        <w:tc>
          <w:tcPr>
            <w:tcW w:w="1872" w:type="dxa"/>
            <w:vMerge w:val="continue"/>
            <w:vAlign w:val="center"/>
          </w:tcPr>
          <w:p>
            <w:pPr>
              <w:pStyle w:val="79"/>
              <w:adjustRightInd w:val="0"/>
              <w:snapToGrid w:val="0"/>
              <w:jc w:val="center"/>
              <w:rPr>
                <w:rFonts w:eastAsia="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Before w:val="1"/>
          <w:wBefore w:w="16" w:type="dxa"/>
          <w:trHeight w:val="503" w:hRule="atLeast"/>
          <w:jc w:val="center"/>
        </w:trPr>
        <w:tc>
          <w:tcPr>
            <w:tcW w:w="530" w:type="dxa"/>
            <w:vMerge w:val="continue"/>
            <w:shd w:val="clear" w:color="auto" w:fill="auto"/>
            <w:vAlign w:val="center"/>
          </w:tcPr>
          <w:p>
            <w:pPr>
              <w:pStyle w:val="79"/>
              <w:adjustRightInd w:val="0"/>
              <w:snapToGrid w:val="0"/>
              <w:jc w:val="center"/>
              <w:rPr>
                <w:rFonts w:eastAsia="仿宋"/>
                <w:color w:val="auto"/>
                <w:sz w:val="21"/>
                <w:szCs w:val="21"/>
                <w:highlight w:val="none"/>
              </w:rPr>
            </w:pPr>
          </w:p>
        </w:tc>
        <w:tc>
          <w:tcPr>
            <w:tcW w:w="861" w:type="dxa"/>
            <w:vMerge w:val="continue"/>
            <w:shd w:val="clear" w:color="auto" w:fill="auto"/>
            <w:vAlign w:val="center"/>
          </w:tcPr>
          <w:p>
            <w:pPr>
              <w:pStyle w:val="79"/>
              <w:adjustRightInd w:val="0"/>
              <w:snapToGrid w:val="0"/>
              <w:jc w:val="center"/>
              <w:rPr>
                <w:rFonts w:eastAsia="仿宋"/>
                <w:color w:val="auto"/>
                <w:sz w:val="21"/>
                <w:szCs w:val="21"/>
                <w:highlight w:val="none"/>
              </w:rPr>
            </w:pPr>
          </w:p>
        </w:tc>
        <w:tc>
          <w:tcPr>
            <w:tcW w:w="1584" w:type="dxa"/>
            <w:vMerge w:val="continue"/>
            <w:shd w:val="clear" w:color="auto" w:fill="auto"/>
            <w:vAlign w:val="center"/>
          </w:tcPr>
          <w:p>
            <w:pPr>
              <w:pStyle w:val="79"/>
              <w:adjustRightInd w:val="0"/>
              <w:snapToGrid w:val="0"/>
              <w:jc w:val="center"/>
              <w:rPr>
                <w:rFonts w:eastAsia="仿宋"/>
                <w:color w:val="auto"/>
                <w:sz w:val="21"/>
                <w:szCs w:val="21"/>
                <w:highlight w:val="none"/>
              </w:rPr>
            </w:pPr>
          </w:p>
        </w:tc>
        <w:tc>
          <w:tcPr>
            <w:tcW w:w="1455" w:type="dxa"/>
            <w:gridSpan w:val="2"/>
            <w:shd w:val="clear" w:color="auto" w:fill="auto"/>
            <w:vAlign w:val="center"/>
          </w:tcPr>
          <w:p>
            <w:pPr>
              <w:adjustRightInd w:val="0"/>
              <w:snapToGrid w:val="0"/>
              <w:jc w:val="center"/>
              <w:rPr>
                <w:rFonts w:eastAsia="仿宋"/>
                <w:color w:val="auto"/>
                <w:szCs w:val="21"/>
                <w:highlight w:val="none"/>
              </w:rPr>
            </w:pPr>
            <w:r>
              <w:rPr>
                <w:rFonts w:eastAsia="仿宋"/>
                <w:color w:val="auto"/>
                <w:spacing w:val="6"/>
                <w:szCs w:val="21"/>
                <w:highlight w:val="none"/>
              </w:rPr>
              <w:t>&gt;12m</w:t>
            </w:r>
          </w:p>
        </w:tc>
        <w:tc>
          <w:tcPr>
            <w:tcW w:w="942" w:type="dxa"/>
            <w:shd w:val="clear" w:color="auto" w:fill="auto"/>
            <w:vAlign w:val="center"/>
          </w:tcPr>
          <w:p>
            <w:pPr>
              <w:adjustRightInd w:val="0"/>
              <w:snapToGrid w:val="0"/>
              <w:jc w:val="center"/>
              <w:rPr>
                <w:rFonts w:eastAsia="仿宋"/>
                <w:color w:val="auto"/>
                <w:szCs w:val="21"/>
                <w:highlight w:val="none"/>
              </w:rPr>
            </w:pPr>
            <w:r>
              <w:rPr>
                <w:rFonts w:eastAsia="仿宋"/>
                <w:color w:val="auto"/>
                <w:spacing w:val="-2"/>
                <w:position w:val="2"/>
                <w:szCs w:val="21"/>
                <w:highlight w:val="none"/>
              </w:rPr>
              <w:t>3</w:t>
            </w:r>
            <w:r>
              <w:rPr>
                <w:rFonts w:eastAsia="仿宋"/>
                <w:color w:val="auto"/>
                <w:spacing w:val="-2"/>
                <w:szCs w:val="21"/>
                <w:highlight w:val="none"/>
              </w:rPr>
              <w:t>，</w:t>
            </w:r>
            <w:r>
              <w:rPr>
                <w:rFonts w:eastAsia="仿宋"/>
                <w:color w:val="auto"/>
                <w:spacing w:val="-2"/>
                <w:position w:val="2"/>
                <w:szCs w:val="21"/>
                <w:highlight w:val="none"/>
              </w:rPr>
              <w:t>-5</w:t>
            </w:r>
          </w:p>
        </w:tc>
        <w:tc>
          <w:tcPr>
            <w:tcW w:w="1525" w:type="dxa"/>
            <w:gridSpan w:val="3"/>
            <w:shd w:val="clear" w:color="auto" w:fill="auto"/>
            <w:vAlign w:val="center"/>
          </w:tcPr>
          <w:p>
            <w:pPr>
              <w:pStyle w:val="79"/>
              <w:adjustRightInd w:val="0"/>
              <w:snapToGrid w:val="0"/>
              <w:jc w:val="center"/>
              <w:rPr>
                <w:rFonts w:eastAsia="仿宋"/>
                <w:color w:val="auto"/>
                <w:sz w:val="21"/>
                <w:szCs w:val="21"/>
                <w:highlight w:val="none"/>
              </w:rPr>
            </w:pPr>
          </w:p>
        </w:tc>
        <w:tc>
          <w:tcPr>
            <w:tcW w:w="976" w:type="dxa"/>
            <w:shd w:val="clear" w:color="auto" w:fill="FFFFFF"/>
            <w:vAlign w:val="center"/>
          </w:tcPr>
          <w:p>
            <w:pPr>
              <w:pStyle w:val="79"/>
              <w:adjustRightInd w:val="0"/>
              <w:snapToGrid w:val="0"/>
              <w:jc w:val="center"/>
              <w:rPr>
                <w:rFonts w:eastAsia="仿宋"/>
                <w:color w:val="auto"/>
                <w:sz w:val="21"/>
                <w:szCs w:val="21"/>
                <w:highlight w:val="none"/>
              </w:rPr>
            </w:pPr>
          </w:p>
        </w:tc>
        <w:tc>
          <w:tcPr>
            <w:tcW w:w="1872" w:type="dxa"/>
            <w:vMerge w:val="continue"/>
            <w:vAlign w:val="center"/>
          </w:tcPr>
          <w:p>
            <w:pPr>
              <w:pStyle w:val="79"/>
              <w:adjustRightInd w:val="0"/>
              <w:snapToGrid w:val="0"/>
              <w:jc w:val="center"/>
              <w:rPr>
                <w:rFonts w:eastAsia="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Before w:val="1"/>
          <w:wBefore w:w="16" w:type="dxa"/>
          <w:trHeight w:val="503" w:hRule="atLeast"/>
          <w:jc w:val="center"/>
        </w:trPr>
        <w:tc>
          <w:tcPr>
            <w:tcW w:w="530" w:type="dxa"/>
            <w:vMerge w:val="continue"/>
            <w:shd w:val="clear" w:color="auto" w:fill="auto"/>
            <w:vAlign w:val="center"/>
          </w:tcPr>
          <w:p>
            <w:pPr>
              <w:pStyle w:val="79"/>
              <w:adjustRightInd w:val="0"/>
              <w:snapToGrid w:val="0"/>
              <w:jc w:val="center"/>
              <w:rPr>
                <w:rFonts w:eastAsia="仿宋"/>
                <w:color w:val="auto"/>
                <w:sz w:val="21"/>
                <w:szCs w:val="21"/>
                <w:highlight w:val="none"/>
              </w:rPr>
            </w:pPr>
          </w:p>
        </w:tc>
        <w:tc>
          <w:tcPr>
            <w:tcW w:w="861" w:type="dxa"/>
            <w:vMerge w:val="continue"/>
            <w:shd w:val="clear" w:color="auto" w:fill="auto"/>
            <w:vAlign w:val="center"/>
          </w:tcPr>
          <w:p>
            <w:pPr>
              <w:pStyle w:val="79"/>
              <w:adjustRightInd w:val="0"/>
              <w:snapToGrid w:val="0"/>
              <w:jc w:val="center"/>
              <w:rPr>
                <w:rFonts w:eastAsia="仿宋"/>
                <w:color w:val="auto"/>
                <w:sz w:val="21"/>
                <w:szCs w:val="21"/>
                <w:highlight w:val="none"/>
              </w:rPr>
            </w:pPr>
          </w:p>
        </w:tc>
        <w:tc>
          <w:tcPr>
            <w:tcW w:w="1584" w:type="dxa"/>
            <w:vMerge w:val="restart"/>
            <w:shd w:val="clear" w:color="auto" w:fill="FFFFFF"/>
            <w:vAlign w:val="center"/>
          </w:tcPr>
          <w:p>
            <w:pPr>
              <w:adjustRightInd w:val="0"/>
              <w:snapToGrid w:val="0"/>
              <w:jc w:val="center"/>
              <w:rPr>
                <w:rFonts w:eastAsia="仿宋"/>
                <w:color w:val="auto"/>
                <w:szCs w:val="21"/>
                <w:highlight w:val="none"/>
              </w:rPr>
            </w:pPr>
            <w:r>
              <w:rPr>
                <w:rFonts w:eastAsia="仿宋"/>
                <w:color w:val="auto"/>
                <w:spacing w:val="2"/>
                <w:szCs w:val="21"/>
                <w:highlight w:val="none"/>
              </w:rPr>
              <w:t>截面尺寸</w:t>
            </w:r>
          </w:p>
        </w:tc>
        <w:tc>
          <w:tcPr>
            <w:tcW w:w="1455" w:type="dxa"/>
            <w:gridSpan w:val="2"/>
            <w:vAlign w:val="center"/>
          </w:tcPr>
          <w:p>
            <w:pPr>
              <w:adjustRightInd w:val="0"/>
              <w:snapToGrid w:val="0"/>
              <w:jc w:val="center"/>
              <w:rPr>
                <w:rFonts w:eastAsia="仿宋"/>
                <w:color w:val="auto"/>
                <w:szCs w:val="21"/>
                <w:highlight w:val="none"/>
              </w:rPr>
            </w:pPr>
            <w:r>
              <w:rPr>
                <w:rFonts w:eastAsia="仿宋"/>
                <w:color w:val="auto"/>
                <w:spacing w:val="1"/>
                <w:szCs w:val="21"/>
                <w:highlight w:val="none"/>
              </w:rPr>
              <w:t>墙板</w:t>
            </w:r>
          </w:p>
        </w:tc>
        <w:tc>
          <w:tcPr>
            <w:tcW w:w="942" w:type="dxa"/>
            <w:vAlign w:val="center"/>
          </w:tcPr>
          <w:p>
            <w:pPr>
              <w:adjustRightInd w:val="0"/>
              <w:snapToGrid w:val="0"/>
              <w:jc w:val="center"/>
              <w:rPr>
                <w:rFonts w:eastAsia="仿宋"/>
                <w:color w:val="auto"/>
                <w:szCs w:val="21"/>
                <w:highlight w:val="none"/>
              </w:rPr>
            </w:pPr>
            <w:r>
              <w:rPr>
                <w:rFonts w:eastAsia="仿宋"/>
                <w:color w:val="auto"/>
                <w:spacing w:val="-2"/>
                <w:szCs w:val="21"/>
                <w:highlight w:val="none"/>
              </w:rPr>
              <w:t>1，-2</w:t>
            </w:r>
          </w:p>
        </w:tc>
        <w:tc>
          <w:tcPr>
            <w:tcW w:w="1525" w:type="dxa"/>
            <w:gridSpan w:val="3"/>
            <w:vAlign w:val="center"/>
          </w:tcPr>
          <w:p>
            <w:pPr>
              <w:pStyle w:val="79"/>
              <w:adjustRightInd w:val="0"/>
              <w:snapToGrid w:val="0"/>
              <w:jc w:val="center"/>
              <w:rPr>
                <w:rFonts w:eastAsia="仿宋"/>
                <w:color w:val="auto"/>
                <w:sz w:val="21"/>
                <w:szCs w:val="21"/>
                <w:highlight w:val="none"/>
              </w:rPr>
            </w:pPr>
          </w:p>
        </w:tc>
        <w:tc>
          <w:tcPr>
            <w:tcW w:w="976" w:type="dxa"/>
            <w:vAlign w:val="center"/>
          </w:tcPr>
          <w:p>
            <w:pPr>
              <w:pStyle w:val="79"/>
              <w:adjustRightInd w:val="0"/>
              <w:snapToGrid w:val="0"/>
              <w:jc w:val="center"/>
              <w:rPr>
                <w:rFonts w:eastAsia="仿宋"/>
                <w:color w:val="auto"/>
                <w:sz w:val="21"/>
                <w:szCs w:val="21"/>
                <w:highlight w:val="none"/>
              </w:rPr>
            </w:pPr>
          </w:p>
        </w:tc>
        <w:tc>
          <w:tcPr>
            <w:tcW w:w="1872" w:type="dxa"/>
            <w:vMerge w:val="continue"/>
            <w:vAlign w:val="center"/>
          </w:tcPr>
          <w:p>
            <w:pPr>
              <w:pStyle w:val="79"/>
              <w:adjustRightInd w:val="0"/>
              <w:snapToGrid w:val="0"/>
              <w:jc w:val="center"/>
              <w:rPr>
                <w:rFonts w:eastAsia="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Before w:val="1"/>
          <w:wBefore w:w="16" w:type="dxa"/>
          <w:trHeight w:val="503" w:hRule="atLeast"/>
          <w:jc w:val="center"/>
        </w:trPr>
        <w:tc>
          <w:tcPr>
            <w:tcW w:w="530" w:type="dxa"/>
            <w:vMerge w:val="continue"/>
            <w:vAlign w:val="center"/>
          </w:tcPr>
          <w:p>
            <w:pPr>
              <w:pStyle w:val="79"/>
              <w:adjustRightInd w:val="0"/>
              <w:snapToGrid w:val="0"/>
              <w:jc w:val="center"/>
              <w:rPr>
                <w:rFonts w:eastAsia="仿宋"/>
                <w:color w:val="auto"/>
                <w:sz w:val="21"/>
                <w:szCs w:val="21"/>
                <w:highlight w:val="none"/>
              </w:rPr>
            </w:pPr>
          </w:p>
        </w:tc>
        <w:tc>
          <w:tcPr>
            <w:tcW w:w="861" w:type="dxa"/>
            <w:vMerge w:val="continue"/>
            <w:vAlign w:val="center"/>
          </w:tcPr>
          <w:p>
            <w:pPr>
              <w:pStyle w:val="79"/>
              <w:adjustRightInd w:val="0"/>
              <w:snapToGrid w:val="0"/>
              <w:jc w:val="center"/>
              <w:rPr>
                <w:rFonts w:eastAsia="仿宋"/>
                <w:color w:val="auto"/>
                <w:sz w:val="21"/>
                <w:szCs w:val="21"/>
                <w:highlight w:val="none"/>
              </w:rPr>
            </w:pPr>
          </w:p>
        </w:tc>
        <w:tc>
          <w:tcPr>
            <w:tcW w:w="1584" w:type="dxa"/>
            <w:vMerge w:val="continue"/>
            <w:vAlign w:val="center"/>
          </w:tcPr>
          <w:p>
            <w:pPr>
              <w:pStyle w:val="79"/>
              <w:adjustRightInd w:val="0"/>
              <w:snapToGrid w:val="0"/>
              <w:jc w:val="center"/>
              <w:rPr>
                <w:rFonts w:eastAsia="仿宋"/>
                <w:color w:val="auto"/>
                <w:sz w:val="21"/>
                <w:szCs w:val="21"/>
                <w:highlight w:val="none"/>
              </w:rPr>
            </w:pPr>
          </w:p>
        </w:tc>
        <w:tc>
          <w:tcPr>
            <w:tcW w:w="1455" w:type="dxa"/>
            <w:gridSpan w:val="2"/>
            <w:vAlign w:val="center"/>
          </w:tcPr>
          <w:p>
            <w:pPr>
              <w:adjustRightInd w:val="0"/>
              <w:snapToGrid w:val="0"/>
              <w:jc w:val="center"/>
              <w:rPr>
                <w:rFonts w:eastAsia="仿宋"/>
                <w:color w:val="auto"/>
                <w:szCs w:val="21"/>
                <w:highlight w:val="none"/>
              </w:rPr>
            </w:pPr>
            <w:r>
              <w:rPr>
                <w:rFonts w:eastAsia="仿宋"/>
                <w:color w:val="auto"/>
                <w:spacing w:val="2"/>
                <w:szCs w:val="21"/>
                <w:highlight w:val="none"/>
              </w:rPr>
              <w:t>其</w:t>
            </w:r>
            <w:r>
              <w:rPr>
                <w:rFonts w:hint="eastAsia" w:eastAsia="仿宋"/>
                <w:color w:val="auto"/>
                <w:spacing w:val="2"/>
                <w:szCs w:val="21"/>
                <w:highlight w:val="none"/>
                <w:lang w:val="en-US" w:eastAsia="zh-CN"/>
              </w:rPr>
              <w:t>他</w:t>
            </w:r>
            <w:r>
              <w:rPr>
                <w:rFonts w:eastAsia="仿宋"/>
                <w:color w:val="auto"/>
                <w:spacing w:val="2"/>
                <w:szCs w:val="21"/>
                <w:highlight w:val="none"/>
              </w:rPr>
              <w:t>构件</w:t>
            </w:r>
          </w:p>
        </w:tc>
        <w:tc>
          <w:tcPr>
            <w:tcW w:w="942" w:type="dxa"/>
            <w:vAlign w:val="center"/>
          </w:tcPr>
          <w:p>
            <w:pPr>
              <w:adjustRightInd w:val="0"/>
              <w:snapToGrid w:val="0"/>
              <w:jc w:val="center"/>
              <w:rPr>
                <w:rFonts w:eastAsia="仿宋"/>
                <w:color w:val="auto"/>
                <w:szCs w:val="21"/>
                <w:highlight w:val="none"/>
              </w:rPr>
            </w:pPr>
            <w:r>
              <w:rPr>
                <w:rFonts w:eastAsia="仿宋"/>
                <w:color w:val="auto"/>
                <w:spacing w:val="-4"/>
                <w:position w:val="2"/>
                <w:szCs w:val="21"/>
                <w:highlight w:val="none"/>
              </w:rPr>
              <w:t>2</w:t>
            </w:r>
            <w:r>
              <w:rPr>
                <w:rFonts w:eastAsia="仿宋"/>
                <w:color w:val="auto"/>
                <w:spacing w:val="-2"/>
                <w:szCs w:val="21"/>
                <w:highlight w:val="none"/>
              </w:rPr>
              <w:t>，</w:t>
            </w:r>
            <w:r>
              <w:rPr>
                <w:rFonts w:eastAsia="仿宋"/>
                <w:color w:val="auto"/>
                <w:spacing w:val="-4"/>
                <w:position w:val="2"/>
                <w:szCs w:val="21"/>
                <w:highlight w:val="none"/>
              </w:rPr>
              <w:t>-4</w:t>
            </w:r>
          </w:p>
        </w:tc>
        <w:tc>
          <w:tcPr>
            <w:tcW w:w="1525" w:type="dxa"/>
            <w:gridSpan w:val="3"/>
            <w:vAlign w:val="center"/>
          </w:tcPr>
          <w:p>
            <w:pPr>
              <w:pStyle w:val="79"/>
              <w:adjustRightInd w:val="0"/>
              <w:snapToGrid w:val="0"/>
              <w:jc w:val="center"/>
              <w:rPr>
                <w:rFonts w:eastAsia="仿宋"/>
                <w:color w:val="auto"/>
                <w:sz w:val="21"/>
                <w:szCs w:val="21"/>
                <w:highlight w:val="none"/>
              </w:rPr>
            </w:pPr>
          </w:p>
        </w:tc>
        <w:tc>
          <w:tcPr>
            <w:tcW w:w="976" w:type="dxa"/>
            <w:vAlign w:val="center"/>
          </w:tcPr>
          <w:p>
            <w:pPr>
              <w:pStyle w:val="79"/>
              <w:adjustRightInd w:val="0"/>
              <w:snapToGrid w:val="0"/>
              <w:jc w:val="center"/>
              <w:rPr>
                <w:rFonts w:eastAsia="仿宋"/>
                <w:color w:val="auto"/>
                <w:sz w:val="21"/>
                <w:szCs w:val="21"/>
                <w:highlight w:val="none"/>
              </w:rPr>
            </w:pPr>
          </w:p>
        </w:tc>
        <w:tc>
          <w:tcPr>
            <w:tcW w:w="1872" w:type="dxa"/>
            <w:vMerge w:val="continue"/>
            <w:vAlign w:val="center"/>
          </w:tcPr>
          <w:p>
            <w:pPr>
              <w:pStyle w:val="79"/>
              <w:adjustRightInd w:val="0"/>
              <w:snapToGrid w:val="0"/>
              <w:jc w:val="center"/>
              <w:rPr>
                <w:rFonts w:eastAsia="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03" w:hRule="atLeast"/>
          <w:jc w:val="center"/>
        </w:trPr>
        <w:tc>
          <w:tcPr>
            <w:tcW w:w="546" w:type="dxa"/>
            <w:gridSpan w:val="2"/>
            <w:vMerge w:val="restart"/>
            <w:vAlign w:val="center"/>
          </w:tcPr>
          <w:p>
            <w:pPr>
              <w:pStyle w:val="79"/>
              <w:adjustRightInd w:val="0"/>
              <w:snapToGrid w:val="0"/>
              <w:jc w:val="center"/>
              <w:rPr>
                <w:rFonts w:eastAsia="仿宋"/>
                <w:color w:val="auto"/>
                <w:sz w:val="21"/>
                <w:szCs w:val="21"/>
                <w:highlight w:val="none"/>
              </w:rPr>
            </w:pPr>
          </w:p>
        </w:tc>
        <w:tc>
          <w:tcPr>
            <w:tcW w:w="861" w:type="dxa"/>
            <w:vMerge w:val="continue"/>
            <w:vAlign w:val="center"/>
          </w:tcPr>
          <w:p>
            <w:pPr>
              <w:pStyle w:val="79"/>
              <w:adjustRightInd w:val="0"/>
              <w:snapToGrid w:val="0"/>
              <w:jc w:val="center"/>
              <w:rPr>
                <w:rFonts w:eastAsia="仿宋"/>
                <w:color w:val="auto"/>
                <w:sz w:val="21"/>
                <w:szCs w:val="21"/>
                <w:highlight w:val="none"/>
              </w:rPr>
            </w:pPr>
          </w:p>
        </w:tc>
        <w:tc>
          <w:tcPr>
            <w:tcW w:w="3039" w:type="dxa"/>
            <w:gridSpan w:val="3"/>
            <w:vAlign w:val="center"/>
          </w:tcPr>
          <w:p>
            <w:pPr>
              <w:adjustRightInd w:val="0"/>
              <w:snapToGrid w:val="0"/>
              <w:jc w:val="center"/>
              <w:rPr>
                <w:rFonts w:eastAsia="仿宋"/>
                <w:color w:val="auto"/>
                <w:szCs w:val="21"/>
                <w:highlight w:val="none"/>
              </w:rPr>
            </w:pPr>
            <w:r>
              <w:rPr>
                <w:rFonts w:eastAsia="仿宋"/>
                <w:color w:val="auto"/>
                <w:spacing w:val="2"/>
                <w:szCs w:val="21"/>
                <w:highlight w:val="none"/>
              </w:rPr>
              <w:t>对角线差</w:t>
            </w:r>
          </w:p>
        </w:tc>
        <w:tc>
          <w:tcPr>
            <w:tcW w:w="942" w:type="dxa"/>
            <w:vAlign w:val="center"/>
          </w:tcPr>
          <w:p>
            <w:pPr>
              <w:adjustRightInd w:val="0"/>
              <w:snapToGrid w:val="0"/>
              <w:jc w:val="center"/>
              <w:rPr>
                <w:rFonts w:eastAsia="仿宋"/>
                <w:color w:val="auto"/>
                <w:szCs w:val="21"/>
                <w:highlight w:val="none"/>
              </w:rPr>
            </w:pPr>
            <w:r>
              <w:rPr>
                <w:rFonts w:eastAsia="仿宋"/>
                <w:color w:val="auto"/>
                <w:spacing w:val="2"/>
                <w:position w:val="2"/>
                <w:szCs w:val="21"/>
                <w:highlight w:val="none"/>
              </w:rPr>
              <w:t>3</w:t>
            </w:r>
          </w:p>
        </w:tc>
        <w:tc>
          <w:tcPr>
            <w:tcW w:w="1525" w:type="dxa"/>
            <w:gridSpan w:val="3"/>
            <w:vAlign w:val="center"/>
          </w:tcPr>
          <w:p>
            <w:pPr>
              <w:pStyle w:val="79"/>
              <w:adjustRightInd w:val="0"/>
              <w:snapToGrid w:val="0"/>
              <w:jc w:val="center"/>
              <w:rPr>
                <w:rFonts w:eastAsia="仿宋"/>
                <w:color w:val="auto"/>
                <w:sz w:val="21"/>
                <w:szCs w:val="21"/>
                <w:highlight w:val="none"/>
              </w:rPr>
            </w:pPr>
          </w:p>
        </w:tc>
        <w:tc>
          <w:tcPr>
            <w:tcW w:w="976" w:type="dxa"/>
            <w:vAlign w:val="center"/>
          </w:tcPr>
          <w:p>
            <w:pPr>
              <w:pStyle w:val="79"/>
              <w:adjustRightInd w:val="0"/>
              <w:snapToGrid w:val="0"/>
              <w:jc w:val="center"/>
              <w:rPr>
                <w:rFonts w:eastAsia="仿宋"/>
                <w:color w:val="auto"/>
                <w:sz w:val="21"/>
                <w:szCs w:val="21"/>
                <w:highlight w:val="none"/>
              </w:rPr>
            </w:pPr>
          </w:p>
        </w:tc>
        <w:tc>
          <w:tcPr>
            <w:tcW w:w="1872" w:type="dxa"/>
            <w:vMerge w:val="continue"/>
            <w:vAlign w:val="center"/>
          </w:tcPr>
          <w:p>
            <w:pPr>
              <w:pStyle w:val="79"/>
              <w:adjustRightInd w:val="0"/>
              <w:snapToGrid w:val="0"/>
              <w:jc w:val="center"/>
              <w:rPr>
                <w:rFonts w:eastAsia="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03" w:hRule="atLeast"/>
          <w:jc w:val="center"/>
        </w:trPr>
        <w:tc>
          <w:tcPr>
            <w:tcW w:w="546" w:type="dxa"/>
            <w:gridSpan w:val="2"/>
            <w:vMerge w:val="continue"/>
            <w:vAlign w:val="center"/>
          </w:tcPr>
          <w:p>
            <w:pPr>
              <w:pStyle w:val="79"/>
              <w:adjustRightInd w:val="0"/>
              <w:snapToGrid w:val="0"/>
              <w:jc w:val="center"/>
              <w:rPr>
                <w:rFonts w:eastAsia="仿宋"/>
                <w:color w:val="auto"/>
                <w:sz w:val="21"/>
                <w:szCs w:val="21"/>
                <w:highlight w:val="none"/>
              </w:rPr>
            </w:pPr>
          </w:p>
        </w:tc>
        <w:tc>
          <w:tcPr>
            <w:tcW w:w="861" w:type="dxa"/>
            <w:vMerge w:val="continue"/>
            <w:vAlign w:val="center"/>
          </w:tcPr>
          <w:p>
            <w:pPr>
              <w:pStyle w:val="79"/>
              <w:adjustRightInd w:val="0"/>
              <w:snapToGrid w:val="0"/>
              <w:jc w:val="center"/>
              <w:rPr>
                <w:rFonts w:eastAsia="仿宋"/>
                <w:color w:val="auto"/>
                <w:sz w:val="21"/>
                <w:szCs w:val="21"/>
                <w:highlight w:val="none"/>
              </w:rPr>
            </w:pPr>
          </w:p>
        </w:tc>
        <w:tc>
          <w:tcPr>
            <w:tcW w:w="3039" w:type="dxa"/>
            <w:gridSpan w:val="3"/>
            <w:vAlign w:val="center"/>
          </w:tcPr>
          <w:p>
            <w:pPr>
              <w:adjustRightInd w:val="0"/>
              <w:snapToGrid w:val="0"/>
              <w:jc w:val="center"/>
              <w:rPr>
                <w:rFonts w:eastAsia="仿宋"/>
                <w:color w:val="auto"/>
                <w:szCs w:val="21"/>
                <w:highlight w:val="none"/>
              </w:rPr>
            </w:pPr>
            <w:r>
              <w:rPr>
                <w:rFonts w:eastAsia="仿宋"/>
                <w:color w:val="auto"/>
                <w:spacing w:val="2"/>
                <w:szCs w:val="21"/>
                <w:highlight w:val="none"/>
              </w:rPr>
              <w:t>侧向弯曲（挠度）</w:t>
            </w:r>
          </w:p>
        </w:tc>
        <w:tc>
          <w:tcPr>
            <w:tcW w:w="942" w:type="dxa"/>
            <w:vAlign w:val="center"/>
          </w:tcPr>
          <w:p>
            <w:pPr>
              <w:adjustRightInd w:val="0"/>
              <w:snapToGrid w:val="0"/>
              <w:jc w:val="center"/>
              <w:rPr>
                <w:rFonts w:eastAsia="仿宋"/>
                <w:color w:val="auto"/>
                <w:szCs w:val="21"/>
                <w:highlight w:val="none"/>
              </w:rPr>
            </w:pPr>
            <w:r>
              <w:rPr>
                <w:rFonts w:eastAsia="仿宋"/>
                <w:color w:val="auto"/>
                <w:szCs w:val="21"/>
                <w:highlight w:val="none"/>
              </w:rPr>
              <w:t>l/1500且≤5</w:t>
            </w:r>
          </w:p>
        </w:tc>
        <w:tc>
          <w:tcPr>
            <w:tcW w:w="1525" w:type="dxa"/>
            <w:gridSpan w:val="3"/>
            <w:vAlign w:val="center"/>
          </w:tcPr>
          <w:p>
            <w:pPr>
              <w:pStyle w:val="79"/>
              <w:adjustRightInd w:val="0"/>
              <w:snapToGrid w:val="0"/>
              <w:jc w:val="center"/>
              <w:rPr>
                <w:rFonts w:eastAsia="仿宋"/>
                <w:color w:val="auto"/>
                <w:sz w:val="21"/>
                <w:szCs w:val="21"/>
                <w:highlight w:val="none"/>
              </w:rPr>
            </w:pPr>
          </w:p>
        </w:tc>
        <w:tc>
          <w:tcPr>
            <w:tcW w:w="976" w:type="dxa"/>
            <w:vAlign w:val="center"/>
          </w:tcPr>
          <w:p>
            <w:pPr>
              <w:pStyle w:val="79"/>
              <w:adjustRightInd w:val="0"/>
              <w:snapToGrid w:val="0"/>
              <w:jc w:val="center"/>
              <w:rPr>
                <w:rFonts w:eastAsia="仿宋"/>
                <w:color w:val="auto"/>
                <w:sz w:val="21"/>
                <w:szCs w:val="21"/>
                <w:highlight w:val="none"/>
              </w:rPr>
            </w:pPr>
          </w:p>
        </w:tc>
        <w:tc>
          <w:tcPr>
            <w:tcW w:w="1872" w:type="dxa"/>
            <w:vMerge w:val="continue"/>
            <w:vAlign w:val="center"/>
          </w:tcPr>
          <w:p>
            <w:pPr>
              <w:pStyle w:val="79"/>
              <w:adjustRightInd w:val="0"/>
              <w:snapToGrid w:val="0"/>
              <w:jc w:val="center"/>
              <w:rPr>
                <w:rFonts w:eastAsia="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03" w:hRule="atLeast"/>
          <w:jc w:val="center"/>
        </w:trPr>
        <w:tc>
          <w:tcPr>
            <w:tcW w:w="546" w:type="dxa"/>
            <w:gridSpan w:val="2"/>
            <w:vMerge w:val="continue"/>
            <w:vAlign w:val="center"/>
          </w:tcPr>
          <w:p>
            <w:pPr>
              <w:pStyle w:val="79"/>
              <w:adjustRightInd w:val="0"/>
              <w:snapToGrid w:val="0"/>
              <w:jc w:val="center"/>
              <w:rPr>
                <w:rFonts w:eastAsia="仿宋"/>
                <w:color w:val="auto"/>
                <w:sz w:val="21"/>
                <w:szCs w:val="21"/>
                <w:highlight w:val="none"/>
              </w:rPr>
            </w:pPr>
          </w:p>
        </w:tc>
        <w:tc>
          <w:tcPr>
            <w:tcW w:w="861" w:type="dxa"/>
            <w:vMerge w:val="continue"/>
            <w:vAlign w:val="center"/>
          </w:tcPr>
          <w:p>
            <w:pPr>
              <w:pStyle w:val="79"/>
              <w:adjustRightInd w:val="0"/>
              <w:snapToGrid w:val="0"/>
              <w:jc w:val="center"/>
              <w:rPr>
                <w:rFonts w:eastAsia="仿宋"/>
                <w:color w:val="auto"/>
                <w:sz w:val="21"/>
                <w:szCs w:val="21"/>
                <w:highlight w:val="none"/>
              </w:rPr>
            </w:pPr>
          </w:p>
        </w:tc>
        <w:tc>
          <w:tcPr>
            <w:tcW w:w="3039" w:type="dxa"/>
            <w:gridSpan w:val="3"/>
            <w:vAlign w:val="center"/>
          </w:tcPr>
          <w:p>
            <w:pPr>
              <w:adjustRightInd w:val="0"/>
              <w:snapToGrid w:val="0"/>
              <w:jc w:val="center"/>
              <w:rPr>
                <w:rFonts w:eastAsia="仿宋"/>
                <w:color w:val="auto"/>
                <w:szCs w:val="21"/>
                <w:highlight w:val="none"/>
              </w:rPr>
            </w:pPr>
            <w:r>
              <w:rPr>
                <w:rFonts w:eastAsia="仿宋"/>
                <w:color w:val="auto"/>
                <w:spacing w:val="1"/>
                <w:szCs w:val="21"/>
                <w:highlight w:val="none"/>
              </w:rPr>
              <w:t>翘曲</w:t>
            </w:r>
          </w:p>
        </w:tc>
        <w:tc>
          <w:tcPr>
            <w:tcW w:w="942" w:type="dxa"/>
            <w:vAlign w:val="center"/>
          </w:tcPr>
          <w:p>
            <w:pPr>
              <w:adjustRightInd w:val="0"/>
              <w:snapToGrid w:val="0"/>
              <w:jc w:val="center"/>
              <w:rPr>
                <w:rFonts w:eastAsia="仿宋"/>
                <w:color w:val="auto"/>
                <w:szCs w:val="21"/>
                <w:highlight w:val="none"/>
              </w:rPr>
            </w:pPr>
            <w:r>
              <w:rPr>
                <w:rFonts w:eastAsia="仿宋"/>
                <w:color w:val="auto"/>
                <w:szCs w:val="21"/>
                <w:highlight w:val="none"/>
              </w:rPr>
              <w:t>l/1500</w:t>
            </w:r>
          </w:p>
        </w:tc>
        <w:tc>
          <w:tcPr>
            <w:tcW w:w="1525" w:type="dxa"/>
            <w:gridSpan w:val="3"/>
            <w:vAlign w:val="center"/>
          </w:tcPr>
          <w:p>
            <w:pPr>
              <w:pStyle w:val="79"/>
              <w:adjustRightInd w:val="0"/>
              <w:snapToGrid w:val="0"/>
              <w:jc w:val="center"/>
              <w:rPr>
                <w:rFonts w:eastAsia="仿宋"/>
                <w:color w:val="auto"/>
                <w:sz w:val="21"/>
                <w:szCs w:val="21"/>
                <w:highlight w:val="none"/>
              </w:rPr>
            </w:pPr>
          </w:p>
        </w:tc>
        <w:tc>
          <w:tcPr>
            <w:tcW w:w="976" w:type="dxa"/>
            <w:vAlign w:val="center"/>
          </w:tcPr>
          <w:p>
            <w:pPr>
              <w:pStyle w:val="79"/>
              <w:adjustRightInd w:val="0"/>
              <w:snapToGrid w:val="0"/>
              <w:jc w:val="center"/>
              <w:rPr>
                <w:rFonts w:eastAsia="仿宋"/>
                <w:color w:val="auto"/>
                <w:sz w:val="21"/>
                <w:szCs w:val="21"/>
                <w:highlight w:val="none"/>
              </w:rPr>
            </w:pPr>
          </w:p>
        </w:tc>
        <w:tc>
          <w:tcPr>
            <w:tcW w:w="1872" w:type="dxa"/>
            <w:vMerge w:val="continue"/>
            <w:vAlign w:val="center"/>
          </w:tcPr>
          <w:p>
            <w:pPr>
              <w:pStyle w:val="79"/>
              <w:adjustRightInd w:val="0"/>
              <w:snapToGrid w:val="0"/>
              <w:jc w:val="center"/>
              <w:rPr>
                <w:rFonts w:eastAsia="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03" w:hRule="atLeast"/>
          <w:jc w:val="center"/>
        </w:trPr>
        <w:tc>
          <w:tcPr>
            <w:tcW w:w="546" w:type="dxa"/>
            <w:gridSpan w:val="2"/>
            <w:vMerge w:val="continue"/>
            <w:vAlign w:val="center"/>
          </w:tcPr>
          <w:p>
            <w:pPr>
              <w:pStyle w:val="79"/>
              <w:adjustRightInd w:val="0"/>
              <w:snapToGrid w:val="0"/>
              <w:jc w:val="center"/>
              <w:rPr>
                <w:rFonts w:eastAsia="仿宋"/>
                <w:color w:val="auto"/>
                <w:sz w:val="21"/>
                <w:szCs w:val="21"/>
                <w:highlight w:val="none"/>
              </w:rPr>
            </w:pPr>
          </w:p>
        </w:tc>
        <w:tc>
          <w:tcPr>
            <w:tcW w:w="861" w:type="dxa"/>
            <w:vMerge w:val="continue"/>
            <w:vAlign w:val="center"/>
          </w:tcPr>
          <w:p>
            <w:pPr>
              <w:pStyle w:val="79"/>
              <w:adjustRightInd w:val="0"/>
              <w:snapToGrid w:val="0"/>
              <w:jc w:val="center"/>
              <w:rPr>
                <w:rFonts w:eastAsia="仿宋"/>
                <w:color w:val="auto"/>
                <w:sz w:val="21"/>
                <w:szCs w:val="21"/>
                <w:highlight w:val="none"/>
              </w:rPr>
            </w:pPr>
          </w:p>
        </w:tc>
        <w:tc>
          <w:tcPr>
            <w:tcW w:w="3039" w:type="dxa"/>
            <w:gridSpan w:val="3"/>
            <w:vAlign w:val="center"/>
          </w:tcPr>
          <w:p>
            <w:pPr>
              <w:adjustRightInd w:val="0"/>
              <w:snapToGrid w:val="0"/>
              <w:jc w:val="center"/>
              <w:rPr>
                <w:rFonts w:eastAsia="仿宋"/>
                <w:color w:val="auto"/>
                <w:szCs w:val="21"/>
                <w:highlight w:val="none"/>
              </w:rPr>
            </w:pPr>
            <w:r>
              <w:rPr>
                <w:rFonts w:eastAsia="仿宋"/>
                <w:color w:val="auto"/>
                <w:spacing w:val="3"/>
                <w:szCs w:val="21"/>
                <w:highlight w:val="none"/>
              </w:rPr>
              <w:t>底模表面平整度</w:t>
            </w:r>
          </w:p>
        </w:tc>
        <w:tc>
          <w:tcPr>
            <w:tcW w:w="942" w:type="dxa"/>
            <w:vAlign w:val="center"/>
          </w:tcPr>
          <w:p>
            <w:pPr>
              <w:adjustRightInd w:val="0"/>
              <w:snapToGrid w:val="0"/>
              <w:jc w:val="center"/>
              <w:rPr>
                <w:rFonts w:eastAsia="仿宋"/>
                <w:color w:val="auto"/>
                <w:szCs w:val="21"/>
                <w:highlight w:val="none"/>
              </w:rPr>
            </w:pPr>
            <w:r>
              <w:rPr>
                <w:rFonts w:eastAsia="仿宋"/>
                <w:color w:val="auto"/>
                <w:spacing w:val="1"/>
                <w:szCs w:val="21"/>
                <w:highlight w:val="none"/>
              </w:rPr>
              <w:t>2</w:t>
            </w:r>
          </w:p>
        </w:tc>
        <w:tc>
          <w:tcPr>
            <w:tcW w:w="1525" w:type="dxa"/>
            <w:gridSpan w:val="3"/>
            <w:vAlign w:val="center"/>
          </w:tcPr>
          <w:p>
            <w:pPr>
              <w:pStyle w:val="79"/>
              <w:adjustRightInd w:val="0"/>
              <w:snapToGrid w:val="0"/>
              <w:jc w:val="center"/>
              <w:rPr>
                <w:rFonts w:eastAsia="仿宋"/>
                <w:color w:val="auto"/>
                <w:sz w:val="21"/>
                <w:szCs w:val="21"/>
                <w:highlight w:val="none"/>
              </w:rPr>
            </w:pPr>
          </w:p>
        </w:tc>
        <w:tc>
          <w:tcPr>
            <w:tcW w:w="976" w:type="dxa"/>
            <w:vAlign w:val="center"/>
          </w:tcPr>
          <w:p>
            <w:pPr>
              <w:pStyle w:val="79"/>
              <w:adjustRightInd w:val="0"/>
              <w:snapToGrid w:val="0"/>
              <w:jc w:val="center"/>
              <w:rPr>
                <w:rFonts w:eastAsia="仿宋"/>
                <w:color w:val="auto"/>
                <w:sz w:val="21"/>
                <w:szCs w:val="21"/>
                <w:highlight w:val="none"/>
              </w:rPr>
            </w:pPr>
          </w:p>
        </w:tc>
        <w:tc>
          <w:tcPr>
            <w:tcW w:w="1872" w:type="dxa"/>
            <w:vMerge w:val="continue"/>
            <w:vAlign w:val="center"/>
          </w:tcPr>
          <w:p>
            <w:pPr>
              <w:pStyle w:val="79"/>
              <w:adjustRightInd w:val="0"/>
              <w:snapToGrid w:val="0"/>
              <w:jc w:val="center"/>
              <w:rPr>
                <w:rFonts w:eastAsia="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03" w:hRule="atLeast"/>
          <w:jc w:val="center"/>
        </w:trPr>
        <w:tc>
          <w:tcPr>
            <w:tcW w:w="546" w:type="dxa"/>
            <w:gridSpan w:val="2"/>
            <w:vMerge w:val="continue"/>
            <w:vAlign w:val="center"/>
          </w:tcPr>
          <w:p>
            <w:pPr>
              <w:pStyle w:val="79"/>
              <w:adjustRightInd w:val="0"/>
              <w:snapToGrid w:val="0"/>
              <w:jc w:val="center"/>
              <w:rPr>
                <w:rFonts w:eastAsia="仿宋"/>
                <w:color w:val="auto"/>
                <w:sz w:val="21"/>
                <w:szCs w:val="21"/>
                <w:highlight w:val="none"/>
              </w:rPr>
            </w:pPr>
          </w:p>
        </w:tc>
        <w:tc>
          <w:tcPr>
            <w:tcW w:w="861" w:type="dxa"/>
            <w:vMerge w:val="continue"/>
            <w:vAlign w:val="center"/>
          </w:tcPr>
          <w:p>
            <w:pPr>
              <w:pStyle w:val="79"/>
              <w:adjustRightInd w:val="0"/>
              <w:snapToGrid w:val="0"/>
              <w:jc w:val="center"/>
              <w:rPr>
                <w:rFonts w:eastAsia="仿宋"/>
                <w:color w:val="auto"/>
                <w:sz w:val="21"/>
                <w:szCs w:val="21"/>
                <w:highlight w:val="none"/>
              </w:rPr>
            </w:pPr>
          </w:p>
        </w:tc>
        <w:tc>
          <w:tcPr>
            <w:tcW w:w="3039" w:type="dxa"/>
            <w:gridSpan w:val="3"/>
            <w:vAlign w:val="center"/>
          </w:tcPr>
          <w:p>
            <w:pPr>
              <w:adjustRightInd w:val="0"/>
              <w:snapToGrid w:val="0"/>
              <w:jc w:val="center"/>
              <w:rPr>
                <w:rFonts w:eastAsia="仿宋"/>
                <w:color w:val="auto"/>
                <w:spacing w:val="3"/>
                <w:szCs w:val="21"/>
                <w:highlight w:val="none"/>
              </w:rPr>
            </w:pPr>
            <w:r>
              <w:rPr>
                <w:rFonts w:eastAsia="仿宋"/>
                <w:color w:val="auto"/>
                <w:spacing w:val="2"/>
                <w:szCs w:val="21"/>
                <w:highlight w:val="none"/>
              </w:rPr>
              <w:t>组装缝隙</w:t>
            </w:r>
          </w:p>
        </w:tc>
        <w:tc>
          <w:tcPr>
            <w:tcW w:w="942" w:type="dxa"/>
            <w:vAlign w:val="center"/>
          </w:tcPr>
          <w:p>
            <w:pPr>
              <w:adjustRightInd w:val="0"/>
              <w:snapToGrid w:val="0"/>
              <w:jc w:val="center"/>
              <w:rPr>
                <w:rFonts w:eastAsia="仿宋"/>
                <w:color w:val="auto"/>
                <w:spacing w:val="1"/>
                <w:szCs w:val="21"/>
                <w:highlight w:val="none"/>
              </w:rPr>
            </w:pPr>
            <w:r>
              <w:rPr>
                <w:rFonts w:eastAsia="仿宋"/>
                <w:color w:val="auto"/>
                <w:spacing w:val="4"/>
                <w:szCs w:val="21"/>
                <w:highlight w:val="none"/>
              </w:rPr>
              <w:t>1</w:t>
            </w:r>
          </w:p>
        </w:tc>
        <w:tc>
          <w:tcPr>
            <w:tcW w:w="1525" w:type="dxa"/>
            <w:gridSpan w:val="3"/>
            <w:vAlign w:val="center"/>
          </w:tcPr>
          <w:p>
            <w:pPr>
              <w:pStyle w:val="79"/>
              <w:adjustRightInd w:val="0"/>
              <w:snapToGrid w:val="0"/>
              <w:jc w:val="center"/>
              <w:rPr>
                <w:rFonts w:eastAsia="仿宋"/>
                <w:color w:val="auto"/>
                <w:sz w:val="21"/>
                <w:szCs w:val="21"/>
                <w:highlight w:val="none"/>
              </w:rPr>
            </w:pPr>
          </w:p>
        </w:tc>
        <w:tc>
          <w:tcPr>
            <w:tcW w:w="976" w:type="dxa"/>
            <w:vAlign w:val="center"/>
          </w:tcPr>
          <w:p>
            <w:pPr>
              <w:pStyle w:val="79"/>
              <w:adjustRightInd w:val="0"/>
              <w:snapToGrid w:val="0"/>
              <w:jc w:val="center"/>
              <w:rPr>
                <w:rFonts w:eastAsia="仿宋"/>
                <w:color w:val="auto"/>
                <w:sz w:val="21"/>
                <w:szCs w:val="21"/>
                <w:highlight w:val="none"/>
              </w:rPr>
            </w:pPr>
          </w:p>
        </w:tc>
        <w:tc>
          <w:tcPr>
            <w:tcW w:w="1872" w:type="dxa"/>
            <w:vMerge w:val="continue"/>
            <w:vAlign w:val="center"/>
          </w:tcPr>
          <w:p>
            <w:pPr>
              <w:pStyle w:val="79"/>
              <w:adjustRightInd w:val="0"/>
              <w:snapToGrid w:val="0"/>
              <w:jc w:val="center"/>
              <w:rPr>
                <w:rFonts w:eastAsia="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546" w:type="dxa"/>
            <w:gridSpan w:val="2"/>
            <w:vAlign w:val="center"/>
          </w:tcPr>
          <w:p>
            <w:pPr>
              <w:adjustRightInd w:val="0"/>
              <w:snapToGrid w:val="0"/>
              <w:jc w:val="center"/>
              <w:rPr>
                <w:rFonts w:eastAsia="仿宋"/>
                <w:color w:val="auto"/>
                <w:szCs w:val="21"/>
                <w:highlight w:val="none"/>
              </w:rPr>
            </w:pPr>
            <w:r>
              <w:rPr>
                <w:rFonts w:eastAsia="仿宋"/>
                <w:color w:val="auto"/>
                <w:szCs w:val="21"/>
                <w:highlight w:val="none"/>
              </w:rPr>
              <w:t>2</w:t>
            </w:r>
          </w:p>
        </w:tc>
        <w:tc>
          <w:tcPr>
            <w:tcW w:w="9215" w:type="dxa"/>
            <w:gridSpan w:val="10"/>
            <w:vAlign w:val="center"/>
          </w:tcPr>
          <w:p>
            <w:pPr>
              <w:adjustRightInd w:val="0"/>
              <w:snapToGrid w:val="0"/>
              <w:jc w:val="center"/>
              <w:rPr>
                <w:rFonts w:eastAsia="仿宋"/>
                <w:color w:val="auto"/>
                <w:szCs w:val="21"/>
                <w:highlight w:val="none"/>
              </w:rPr>
            </w:pPr>
            <w:r>
              <w:rPr>
                <w:rFonts w:eastAsia="仿宋"/>
                <w:color w:val="auto"/>
                <w:spacing w:val="4"/>
                <w:szCs w:val="21"/>
                <w:highlight w:val="none"/>
              </w:rPr>
              <w:t>模具上预埋件、预留孔洞安装（最大偏差值）</w:t>
            </w:r>
            <w:r>
              <w:rPr>
                <w:rFonts w:hint="eastAsia" w:eastAsia="仿宋"/>
                <w:color w:val="auto"/>
                <w:spacing w:val="4"/>
                <w:szCs w:val="21"/>
                <w:highlight w:val="none"/>
              </w:rPr>
              <w:t>（mm）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Before w:val="1"/>
          <w:wBefore w:w="16" w:type="dxa"/>
          <w:trHeight w:val="447" w:hRule="atLeast"/>
          <w:jc w:val="center"/>
        </w:trPr>
        <w:tc>
          <w:tcPr>
            <w:tcW w:w="530" w:type="dxa"/>
            <w:vMerge w:val="restart"/>
            <w:vAlign w:val="center"/>
          </w:tcPr>
          <w:p>
            <w:pPr>
              <w:pStyle w:val="79"/>
              <w:adjustRightInd w:val="0"/>
              <w:snapToGrid w:val="0"/>
              <w:jc w:val="center"/>
              <w:rPr>
                <w:rFonts w:eastAsia="仿宋"/>
                <w:color w:val="auto"/>
                <w:sz w:val="21"/>
                <w:szCs w:val="21"/>
                <w:highlight w:val="none"/>
                <w:lang w:eastAsia="zh-CN"/>
              </w:rPr>
            </w:pPr>
          </w:p>
        </w:tc>
        <w:tc>
          <w:tcPr>
            <w:tcW w:w="861" w:type="dxa"/>
            <w:vMerge w:val="restart"/>
            <w:vAlign w:val="center"/>
          </w:tcPr>
          <w:p>
            <w:pPr>
              <w:adjustRightInd w:val="0"/>
              <w:snapToGrid w:val="0"/>
              <w:jc w:val="center"/>
              <w:rPr>
                <w:rFonts w:eastAsia="仿宋"/>
                <w:color w:val="auto"/>
                <w:szCs w:val="21"/>
                <w:highlight w:val="none"/>
              </w:rPr>
            </w:pPr>
            <w:r>
              <w:rPr>
                <w:rFonts w:eastAsia="仿宋"/>
                <w:color w:val="auto"/>
                <w:spacing w:val="2"/>
                <w:szCs w:val="21"/>
                <w:highlight w:val="none"/>
              </w:rPr>
              <w:t>一般项目</w:t>
            </w:r>
          </w:p>
        </w:tc>
        <w:tc>
          <w:tcPr>
            <w:tcW w:w="1584" w:type="dxa"/>
            <w:vMerge w:val="restart"/>
            <w:vAlign w:val="center"/>
          </w:tcPr>
          <w:p>
            <w:pPr>
              <w:adjustRightInd w:val="0"/>
              <w:snapToGrid w:val="0"/>
              <w:jc w:val="center"/>
              <w:rPr>
                <w:rFonts w:eastAsia="仿宋"/>
                <w:color w:val="auto"/>
                <w:szCs w:val="21"/>
                <w:highlight w:val="none"/>
              </w:rPr>
            </w:pPr>
            <w:r>
              <w:rPr>
                <w:rFonts w:eastAsia="仿宋"/>
                <w:color w:val="auto"/>
                <w:spacing w:val="-2"/>
                <w:szCs w:val="21"/>
                <w:highlight w:val="none"/>
              </w:rPr>
              <w:t>预埋钢板、</w:t>
            </w:r>
            <w:r>
              <w:rPr>
                <w:rFonts w:eastAsia="仿宋"/>
                <w:color w:val="auto"/>
                <w:spacing w:val="2"/>
                <w:szCs w:val="21"/>
                <w:highlight w:val="none"/>
              </w:rPr>
              <w:t>建筑幕墙用槽式预埋组</w:t>
            </w:r>
            <w:r>
              <w:rPr>
                <w:rFonts w:eastAsia="仿宋"/>
                <w:color w:val="auto"/>
                <w:szCs w:val="21"/>
                <w:highlight w:val="none"/>
              </w:rPr>
              <w:t>件</w:t>
            </w:r>
          </w:p>
        </w:tc>
        <w:tc>
          <w:tcPr>
            <w:tcW w:w="1455" w:type="dxa"/>
            <w:gridSpan w:val="2"/>
            <w:vAlign w:val="center"/>
          </w:tcPr>
          <w:p>
            <w:pPr>
              <w:adjustRightInd w:val="0"/>
              <w:snapToGrid w:val="0"/>
              <w:jc w:val="center"/>
              <w:rPr>
                <w:rFonts w:eastAsia="仿宋"/>
                <w:color w:val="auto"/>
                <w:szCs w:val="21"/>
                <w:highlight w:val="none"/>
              </w:rPr>
            </w:pPr>
            <w:r>
              <w:rPr>
                <w:rFonts w:eastAsia="仿宋"/>
                <w:color w:val="auto"/>
                <w:szCs w:val="21"/>
                <w:highlight w:val="none"/>
              </w:rPr>
              <w:t>中心线位置</w:t>
            </w:r>
          </w:p>
        </w:tc>
        <w:tc>
          <w:tcPr>
            <w:tcW w:w="942" w:type="dxa"/>
            <w:vAlign w:val="center"/>
          </w:tcPr>
          <w:p>
            <w:pPr>
              <w:adjustRightInd w:val="0"/>
              <w:snapToGrid w:val="0"/>
              <w:jc w:val="center"/>
              <w:rPr>
                <w:rFonts w:eastAsia="仿宋"/>
                <w:color w:val="auto"/>
                <w:szCs w:val="21"/>
                <w:highlight w:val="none"/>
              </w:rPr>
            </w:pPr>
            <w:r>
              <w:rPr>
                <w:rFonts w:eastAsia="仿宋"/>
                <w:color w:val="auto"/>
                <w:spacing w:val="2"/>
                <w:position w:val="2"/>
                <w:szCs w:val="21"/>
                <w:highlight w:val="none"/>
              </w:rPr>
              <w:t>3</w:t>
            </w:r>
          </w:p>
        </w:tc>
        <w:tc>
          <w:tcPr>
            <w:tcW w:w="1525" w:type="dxa"/>
            <w:gridSpan w:val="3"/>
            <w:vAlign w:val="center"/>
          </w:tcPr>
          <w:p>
            <w:pPr>
              <w:pStyle w:val="79"/>
              <w:adjustRightInd w:val="0"/>
              <w:snapToGrid w:val="0"/>
              <w:jc w:val="center"/>
              <w:rPr>
                <w:rFonts w:eastAsia="仿宋"/>
                <w:color w:val="auto"/>
                <w:sz w:val="21"/>
                <w:szCs w:val="21"/>
                <w:highlight w:val="none"/>
              </w:rPr>
            </w:pPr>
          </w:p>
        </w:tc>
        <w:tc>
          <w:tcPr>
            <w:tcW w:w="976" w:type="dxa"/>
            <w:vAlign w:val="center"/>
          </w:tcPr>
          <w:p>
            <w:pPr>
              <w:pStyle w:val="79"/>
              <w:adjustRightInd w:val="0"/>
              <w:snapToGrid w:val="0"/>
              <w:jc w:val="center"/>
              <w:rPr>
                <w:rFonts w:eastAsia="仿宋"/>
                <w:color w:val="auto"/>
                <w:sz w:val="21"/>
                <w:szCs w:val="21"/>
                <w:highlight w:val="none"/>
              </w:rPr>
            </w:pPr>
          </w:p>
        </w:tc>
        <w:tc>
          <w:tcPr>
            <w:tcW w:w="1872" w:type="dxa"/>
            <w:vMerge w:val="restart"/>
            <w:vAlign w:val="center"/>
          </w:tcPr>
          <w:p>
            <w:pPr>
              <w:pStyle w:val="79"/>
              <w:adjustRightInd w:val="0"/>
              <w:snapToGrid w:val="0"/>
              <w:jc w:val="center"/>
              <w:rPr>
                <w:rFonts w:eastAsia="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Before w:val="1"/>
          <w:wBefore w:w="16" w:type="dxa"/>
          <w:trHeight w:val="447" w:hRule="atLeast"/>
          <w:jc w:val="center"/>
        </w:trPr>
        <w:tc>
          <w:tcPr>
            <w:tcW w:w="530" w:type="dxa"/>
            <w:vMerge w:val="continue"/>
            <w:vAlign w:val="center"/>
          </w:tcPr>
          <w:p>
            <w:pPr>
              <w:pStyle w:val="79"/>
              <w:adjustRightInd w:val="0"/>
              <w:snapToGrid w:val="0"/>
              <w:jc w:val="center"/>
              <w:rPr>
                <w:rFonts w:eastAsia="仿宋"/>
                <w:color w:val="auto"/>
                <w:sz w:val="21"/>
                <w:szCs w:val="21"/>
                <w:highlight w:val="none"/>
              </w:rPr>
            </w:pPr>
          </w:p>
        </w:tc>
        <w:tc>
          <w:tcPr>
            <w:tcW w:w="861" w:type="dxa"/>
            <w:vMerge w:val="continue"/>
            <w:vAlign w:val="center"/>
          </w:tcPr>
          <w:p>
            <w:pPr>
              <w:pStyle w:val="79"/>
              <w:adjustRightInd w:val="0"/>
              <w:snapToGrid w:val="0"/>
              <w:jc w:val="center"/>
              <w:rPr>
                <w:rFonts w:eastAsia="仿宋"/>
                <w:color w:val="auto"/>
                <w:sz w:val="21"/>
                <w:szCs w:val="21"/>
                <w:highlight w:val="none"/>
              </w:rPr>
            </w:pPr>
          </w:p>
        </w:tc>
        <w:tc>
          <w:tcPr>
            <w:tcW w:w="1584" w:type="dxa"/>
            <w:vMerge w:val="continue"/>
            <w:vAlign w:val="center"/>
          </w:tcPr>
          <w:p>
            <w:pPr>
              <w:pStyle w:val="79"/>
              <w:adjustRightInd w:val="0"/>
              <w:snapToGrid w:val="0"/>
              <w:jc w:val="center"/>
              <w:rPr>
                <w:rFonts w:eastAsia="仿宋"/>
                <w:color w:val="auto"/>
                <w:sz w:val="21"/>
                <w:szCs w:val="21"/>
                <w:highlight w:val="none"/>
              </w:rPr>
            </w:pPr>
          </w:p>
        </w:tc>
        <w:tc>
          <w:tcPr>
            <w:tcW w:w="1455" w:type="dxa"/>
            <w:gridSpan w:val="2"/>
            <w:vAlign w:val="center"/>
          </w:tcPr>
          <w:p>
            <w:pPr>
              <w:adjustRightInd w:val="0"/>
              <w:snapToGrid w:val="0"/>
              <w:jc w:val="center"/>
              <w:rPr>
                <w:rFonts w:eastAsia="仿宋"/>
                <w:color w:val="auto"/>
                <w:szCs w:val="21"/>
                <w:highlight w:val="none"/>
              </w:rPr>
            </w:pPr>
            <w:r>
              <w:rPr>
                <w:rFonts w:eastAsia="仿宋"/>
                <w:color w:val="auto"/>
                <w:spacing w:val="2"/>
                <w:szCs w:val="21"/>
                <w:highlight w:val="none"/>
              </w:rPr>
              <w:t>平面高差</w:t>
            </w:r>
          </w:p>
        </w:tc>
        <w:tc>
          <w:tcPr>
            <w:tcW w:w="942" w:type="dxa"/>
            <w:vAlign w:val="center"/>
          </w:tcPr>
          <w:p>
            <w:pPr>
              <w:adjustRightInd w:val="0"/>
              <w:snapToGrid w:val="0"/>
              <w:jc w:val="center"/>
              <w:rPr>
                <w:rFonts w:eastAsia="仿宋"/>
                <w:color w:val="auto"/>
                <w:szCs w:val="21"/>
                <w:highlight w:val="none"/>
              </w:rPr>
            </w:pPr>
            <w:r>
              <w:rPr>
                <w:rFonts w:eastAsia="仿宋"/>
                <w:color w:val="auto"/>
                <w:spacing w:val="2"/>
                <w:szCs w:val="21"/>
                <w:highlight w:val="none"/>
              </w:rPr>
              <w:t>±2</w:t>
            </w:r>
          </w:p>
        </w:tc>
        <w:tc>
          <w:tcPr>
            <w:tcW w:w="1525" w:type="dxa"/>
            <w:gridSpan w:val="3"/>
            <w:vAlign w:val="center"/>
          </w:tcPr>
          <w:p>
            <w:pPr>
              <w:pStyle w:val="79"/>
              <w:adjustRightInd w:val="0"/>
              <w:snapToGrid w:val="0"/>
              <w:jc w:val="center"/>
              <w:rPr>
                <w:rFonts w:eastAsia="仿宋"/>
                <w:color w:val="auto"/>
                <w:sz w:val="21"/>
                <w:szCs w:val="21"/>
                <w:highlight w:val="none"/>
              </w:rPr>
            </w:pPr>
          </w:p>
        </w:tc>
        <w:tc>
          <w:tcPr>
            <w:tcW w:w="976" w:type="dxa"/>
            <w:vAlign w:val="center"/>
          </w:tcPr>
          <w:p>
            <w:pPr>
              <w:pStyle w:val="79"/>
              <w:adjustRightInd w:val="0"/>
              <w:snapToGrid w:val="0"/>
              <w:jc w:val="center"/>
              <w:rPr>
                <w:rFonts w:eastAsia="仿宋"/>
                <w:color w:val="auto"/>
                <w:sz w:val="21"/>
                <w:szCs w:val="21"/>
                <w:highlight w:val="none"/>
              </w:rPr>
            </w:pPr>
          </w:p>
        </w:tc>
        <w:tc>
          <w:tcPr>
            <w:tcW w:w="1872" w:type="dxa"/>
            <w:vMerge w:val="continue"/>
            <w:vAlign w:val="center"/>
          </w:tcPr>
          <w:p>
            <w:pPr>
              <w:pStyle w:val="79"/>
              <w:adjustRightInd w:val="0"/>
              <w:snapToGrid w:val="0"/>
              <w:jc w:val="center"/>
              <w:rPr>
                <w:rFonts w:eastAsia="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6" w:hRule="atLeast"/>
          <w:jc w:val="center"/>
        </w:trPr>
        <w:tc>
          <w:tcPr>
            <w:tcW w:w="546" w:type="dxa"/>
            <w:gridSpan w:val="2"/>
            <w:vAlign w:val="center"/>
          </w:tcPr>
          <w:p>
            <w:pPr>
              <w:pStyle w:val="79"/>
              <w:adjustRightInd w:val="0"/>
              <w:snapToGrid w:val="0"/>
              <w:jc w:val="center"/>
              <w:rPr>
                <w:rFonts w:eastAsia="仿宋"/>
                <w:color w:val="auto"/>
                <w:sz w:val="21"/>
                <w:szCs w:val="21"/>
                <w:highlight w:val="none"/>
              </w:rPr>
            </w:pPr>
          </w:p>
        </w:tc>
        <w:tc>
          <w:tcPr>
            <w:tcW w:w="861" w:type="dxa"/>
            <w:vMerge w:val="continue"/>
            <w:vAlign w:val="center"/>
          </w:tcPr>
          <w:p>
            <w:pPr>
              <w:pStyle w:val="79"/>
              <w:adjustRightInd w:val="0"/>
              <w:snapToGrid w:val="0"/>
              <w:jc w:val="center"/>
              <w:rPr>
                <w:rFonts w:eastAsia="仿宋"/>
                <w:color w:val="auto"/>
                <w:sz w:val="21"/>
                <w:szCs w:val="21"/>
                <w:highlight w:val="none"/>
              </w:rPr>
            </w:pPr>
          </w:p>
        </w:tc>
        <w:tc>
          <w:tcPr>
            <w:tcW w:w="3039" w:type="dxa"/>
            <w:gridSpan w:val="3"/>
            <w:vAlign w:val="center"/>
          </w:tcPr>
          <w:p>
            <w:pPr>
              <w:adjustRightInd w:val="0"/>
              <w:snapToGrid w:val="0"/>
              <w:jc w:val="center"/>
              <w:rPr>
                <w:rFonts w:eastAsia="仿宋"/>
                <w:color w:val="auto"/>
                <w:szCs w:val="21"/>
                <w:highlight w:val="none"/>
              </w:rPr>
            </w:pPr>
            <w:r>
              <w:rPr>
                <w:rFonts w:eastAsia="仿宋"/>
                <w:color w:val="auto"/>
                <w:spacing w:val="3"/>
                <w:szCs w:val="21"/>
                <w:highlight w:val="none"/>
              </w:rPr>
              <w:t>预埋管、电线盒、电线管水平和垂直方向的中心线位置偏移</w:t>
            </w:r>
            <w:r>
              <w:rPr>
                <w:rFonts w:eastAsia="仿宋"/>
                <w:color w:val="auto"/>
                <w:spacing w:val="2"/>
                <w:szCs w:val="21"/>
                <w:highlight w:val="none"/>
              </w:rPr>
              <w:t>、预留孔、浆锚搭接预留孔</w:t>
            </w:r>
            <w:r>
              <w:rPr>
                <w:rFonts w:eastAsia="仿宋"/>
                <w:color w:val="auto"/>
                <w:spacing w:val="1"/>
                <w:szCs w:val="21"/>
                <w:highlight w:val="none"/>
              </w:rPr>
              <w:t>（或波纹管）</w:t>
            </w:r>
          </w:p>
        </w:tc>
        <w:tc>
          <w:tcPr>
            <w:tcW w:w="942" w:type="dxa"/>
            <w:vAlign w:val="center"/>
          </w:tcPr>
          <w:p>
            <w:pPr>
              <w:adjustRightInd w:val="0"/>
              <w:snapToGrid w:val="0"/>
              <w:jc w:val="center"/>
              <w:rPr>
                <w:rFonts w:eastAsia="仿宋"/>
                <w:color w:val="auto"/>
                <w:szCs w:val="21"/>
                <w:highlight w:val="none"/>
              </w:rPr>
            </w:pPr>
            <w:r>
              <w:rPr>
                <w:rFonts w:eastAsia="仿宋"/>
                <w:color w:val="auto"/>
                <w:spacing w:val="1"/>
                <w:szCs w:val="21"/>
                <w:highlight w:val="none"/>
              </w:rPr>
              <w:t>2</w:t>
            </w:r>
          </w:p>
        </w:tc>
        <w:tc>
          <w:tcPr>
            <w:tcW w:w="1525" w:type="dxa"/>
            <w:gridSpan w:val="3"/>
            <w:vAlign w:val="center"/>
          </w:tcPr>
          <w:p>
            <w:pPr>
              <w:pStyle w:val="79"/>
              <w:adjustRightInd w:val="0"/>
              <w:snapToGrid w:val="0"/>
              <w:jc w:val="center"/>
              <w:rPr>
                <w:rFonts w:eastAsia="仿宋"/>
                <w:color w:val="auto"/>
                <w:sz w:val="21"/>
                <w:szCs w:val="21"/>
                <w:highlight w:val="none"/>
              </w:rPr>
            </w:pPr>
          </w:p>
        </w:tc>
        <w:tc>
          <w:tcPr>
            <w:tcW w:w="976" w:type="dxa"/>
            <w:vAlign w:val="center"/>
          </w:tcPr>
          <w:p>
            <w:pPr>
              <w:pStyle w:val="79"/>
              <w:adjustRightInd w:val="0"/>
              <w:snapToGrid w:val="0"/>
              <w:jc w:val="center"/>
              <w:rPr>
                <w:rFonts w:eastAsia="仿宋"/>
                <w:color w:val="auto"/>
                <w:sz w:val="21"/>
                <w:szCs w:val="21"/>
                <w:highlight w:val="none"/>
              </w:rPr>
            </w:pPr>
          </w:p>
        </w:tc>
        <w:tc>
          <w:tcPr>
            <w:tcW w:w="1872" w:type="dxa"/>
            <w:vMerge w:val="continue"/>
            <w:vAlign w:val="center"/>
          </w:tcPr>
          <w:p>
            <w:pPr>
              <w:pStyle w:val="79"/>
              <w:adjustRightInd w:val="0"/>
              <w:snapToGrid w:val="0"/>
              <w:jc w:val="center"/>
              <w:rPr>
                <w:rFonts w:eastAsia="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Before w:val="1"/>
          <w:wBefore w:w="16" w:type="dxa"/>
          <w:trHeight w:val="447" w:hRule="atLeast"/>
          <w:jc w:val="center"/>
        </w:trPr>
        <w:tc>
          <w:tcPr>
            <w:tcW w:w="530" w:type="dxa"/>
            <w:vMerge w:val="restart"/>
            <w:vAlign w:val="center"/>
          </w:tcPr>
          <w:p>
            <w:pPr>
              <w:pStyle w:val="79"/>
              <w:adjustRightInd w:val="0"/>
              <w:snapToGrid w:val="0"/>
              <w:jc w:val="center"/>
              <w:rPr>
                <w:rFonts w:eastAsia="仿宋"/>
                <w:color w:val="auto"/>
                <w:sz w:val="21"/>
                <w:szCs w:val="21"/>
                <w:highlight w:val="none"/>
              </w:rPr>
            </w:pPr>
          </w:p>
        </w:tc>
        <w:tc>
          <w:tcPr>
            <w:tcW w:w="861" w:type="dxa"/>
            <w:vMerge w:val="continue"/>
            <w:vAlign w:val="center"/>
          </w:tcPr>
          <w:p>
            <w:pPr>
              <w:pStyle w:val="79"/>
              <w:adjustRightInd w:val="0"/>
              <w:snapToGrid w:val="0"/>
              <w:jc w:val="center"/>
              <w:rPr>
                <w:rFonts w:eastAsia="仿宋"/>
                <w:color w:val="auto"/>
                <w:sz w:val="21"/>
                <w:szCs w:val="21"/>
                <w:highlight w:val="none"/>
              </w:rPr>
            </w:pPr>
          </w:p>
        </w:tc>
        <w:tc>
          <w:tcPr>
            <w:tcW w:w="1584" w:type="dxa"/>
            <w:vMerge w:val="restart"/>
            <w:vAlign w:val="center"/>
          </w:tcPr>
          <w:p>
            <w:pPr>
              <w:adjustRightInd w:val="0"/>
              <w:snapToGrid w:val="0"/>
              <w:jc w:val="center"/>
              <w:rPr>
                <w:rFonts w:eastAsia="仿宋"/>
                <w:color w:val="auto"/>
                <w:szCs w:val="21"/>
                <w:highlight w:val="none"/>
              </w:rPr>
            </w:pPr>
            <w:r>
              <w:rPr>
                <w:rFonts w:eastAsia="仿宋"/>
                <w:color w:val="auto"/>
                <w:spacing w:val="1"/>
                <w:szCs w:val="21"/>
                <w:highlight w:val="none"/>
              </w:rPr>
              <w:t>插筋</w:t>
            </w:r>
          </w:p>
        </w:tc>
        <w:tc>
          <w:tcPr>
            <w:tcW w:w="1455" w:type="dxa"/>
            <w:gridSpan w:val="2"/>
            <w:vAlign w:val="center"/>
          </w:tcPr>
          <w:p>
            <w:pPr>
              <w:adjustRightInd w:val="0"/>
              <w:snapToGrid w:val="0"/>
              <w:jc w:val="center"/>
              <w:rPr>
                <w:rFonts w:eastAsia="仿宋"/>
                <w:color w:val="auto"/>
                <w:szCs w:val="21"/>
                <w:highlight w:val="none"/>
              </w:rPr>
            </w:pPr>
            <w:r>
              <w:rPr>
                <w:rFonts w:eastAsia="仿宋"/>
                <w:color w:val="auto"/>
                <w:szCs w:val="21"/>
                <w:highlight w:val="none"/>
              </w:rPr>
              <w:t>中心线位置</w:t>
            </w:r>
          </w:p>
        </w:tc>
        <w:tc>
          <w:tcPr>
            <w:tcW w:w="942" w:type="dxa"/>
            <w:vAlign w:val="center"/>
          </w:tcPr>
          <w:p>
            <w:pPr>
              <w:adjustRightInd w:val="0"/>
              <w:snapToGrid w:val="0"/>
              <w:jc w:val="center"/>
              <w:rPr>
                <w:rFonts w:eastAsia="仿宋"/>
                <w:color w:val="auto"/>
                <w:szCs w:val="21"/>
                <w:highlight w:val="none"/>
              </w:rPr>
            </w:pPr>
            <w:r>
              <w:rPr>
                <w:rFonts w:eastAsia="仿宋"/>
                <w:color w:val="auto"/>
                <w:spacing w:val="2"/>
                <w:position w:val="2"/>
                <w:szCs w:val="21"/>
                <w:highlight w:val="none"/>
              </w:rPr>
              <w:t>3</w:t>
            </w:r>
          </w:p>
        </w:tc>
        <w:tc>
          <w:tcPr>
            <w:tcW w:w="1525" w:type="dxa"/>
            <w:gridSpan w:val="3"/>
            <w:vAlign w:val="center"/>
          </w:tcPr>
          <w:p>
            <w:pPr>
              <w:pStyle w:val="79"/>
              <w:adjustRightInd w:val="0"/>
              <w:snapToGrid w:val="0"/>
              <w:jc w:val="center"/>
              <w:rPr>
                <w:rFonts w:eastAsia="仿宋"/>
                <w:color w:val="auto"/>
                <w:sz w:val="21"/>
                <w:szCs w:val="21"/>
                <w:highlight w:val="none"/>
              </w:rPr>
            </w:pPr>
          </w:p>
        </w:tc>
        <w:tc>
          <w:tcPr>
            <w:tcW w:w="976" w:type="dxa"/>
            <w:vAlign w:val="center"/>
          </w:tcPr>
          <w:p>
            <w:pPr>
              <w:pStyle w:val="79"/>
              <w:adjustRightInd w:val="0"/>
              <w:snapToGrid w:val="0"/>
              <w:jc w:val="center"/>
              <w:rPr>
                <w:rFonts w:eastAsia="仿宋"/>
                <w:color w:val="auto"/>
                <w:sz w:val="21"/>
                <w:szCs w:val="21"/>
                <w:highlight w:val="none"/>
              </w:rPr>
            </w:pPr>
          </w:p>
        </w:tc>
        <w:tc>
          <w:tcPr>
            <w:tcW w:w="1872" w:type="dxa"/>
            <w:vMerge w:val="continue"/>
            <w:vAlign w:val="center"/>
          </w:tcPr>
          <w:p>
            <w:pPr>
              <w:pStyle w:val="79"/>
              <w:adjustRightInd w:val="0"/>
              <w:snapToGrid w:val="0"/>
              <w:jc w:val="center"/>
              <w:rPr>
                <w:rFonts w:eastAsia="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Before w:val="1"/>
          <w:wBefore w:w="16" w:type="dxa"/>
          <w:trHeight w:val="447" w:hRule="atLeast"/>
          <w:jc w:val="center"/>
        </w:trPr>
        <w:tc>
          <w:tcPr>
            <w:tcW w:w="530" w:type="dxa"/>
            <w:vMerge w:val="continue"/>
            <w:vAlign w:val="center"/>
          </w:tcPr>
          <w:p>
            <w:pPr>
              <w:pStyle w:val="79"/>
              <w:adjustRightInd w:val="0"/>
              <w:snapToGrid w:val="0"/>
              <w:jc w:val="center"/>
              <w:rPr>
                <w:rFonts w:eastAsia="仿宋"/>
                <w:color w:val="auto"/>
                <w:sz w:val="21"/>
                <w:szCs w:val="21"/>
                <w:highlight w:val="none"/>
              </w:rPr>
            </w:pPr>
          </w:p>
        </w:tc>
        <w:tc>
          <w:tcPr>
            <w:tcW w:w="861" w:type="dxa"/>
            <w:vMerge w:val="continue"/>
            <w:vAlign w:val="center"/>
          </w:tcPr>
          <w:p>
            <w:pPr>
              <w:pStyle w:val="79"/>
              <w:adjustRightInd w:val="0"/>
              <w:snapToGrid w:val="0"/>
              <w:jc w:val="center"/>
              <w:rPr>
                <w:rFonts w:eastAsia="仿宋"/>
                <w:color w:val="auto"/>
                <w:sz w:val="21"/>
                <w:szCs w:val="21"/>
                <w:highlight w:val="none"/>
              </w:rPr>
            </w:pPr>
          </w:p>
        </w:tc>
        <w:tc>
          <w:tcPr>
            <w:tcW w:w="1584" w:type="dxa"/>
            <w:vMerge w:val="continue"/>
            <w:vAlign w:val="center"/>
          </w:tcPr>
          <w:p>
            <w:pPr>
              <w:pStyle w:val="79"/>
              <w:adjustRightInd w:val="0"/>
              <w:snapToGrid w:val="0"/>
              <w:jc w:val="center"/>
              <w:rPr>
                <w:rFonts w:eastAsia="仿宋"/>
                <w:color w:val="auto"/>
                <w:sz w:val="21"/>
                <w:szCs w:val="21"/>
                <w:highlight w:val="none"/>
              </w:rPr>
            </w:pPr>
          </w:p>
        </w:tc>
        <w:tc>
          <w:tcPr>
            <w:tcW w:w="1455" w:type="dxa"/>
            <w:gridSpan w:val="2"/>
            <w:vAlign w:val="center"/>
          </w:tcPr>
          <w:p>
            <w:pPr>
              <w:adjustRightInd w:val="0"/>
              <w:snapToGrid w:val="0"/>
              <w:jc w:val="center"/>
              <w:rPr>
                <w:rFonts w:eastAsia="仿宋"/>
                <w:color w:val="auto"/>
                <w:szCs w:val="21"/>
                <w:highlight w:val="none"/>
              </w:rPr>
            </w:pPr>
            <w:r>
              <w:rPr>
                <w:rFonts w:hint="eastAsia" w:eastAsia="仿宋"/>
                <w:color w:val="auto"/>
                <w:spacing w:val="1"/>
                <w:szCs w:val="21"/>
                <w:highlight w:val="none"/>
                <w:lang w:eastAsia="zh-CN"/>
              </w:rPr>
              <w:t>外露</w:t>
            </w:r>
            <w:r>
              <w:rPr>
                <w:rFonts w:eastAsia="仿宋"/>
                <w:color w:val="auto"/>
                <w:spacing w:val="1"/>
                <w:szCs w:val="21"/>
                <w:highlight w:val="none"/>
              </w:rPr>
              <w:t>长度</w:t>
            </w:r>
          </w:p>
        </w:tc>
        <w:tc>
          <w:tcPr>
            <w:tcW w:w="942" w:type="dxa"/>
            <w:vAlign w:val="center"/>
          </w:tcPr>
          <w:p>
            <w:pPr>
              <w:adjustRightInd w:val="0"/>
              <w:snapToGrid w:val="0"/>
              <w:jc w:val="center"/>
              <w:rPr>
                <w:rFonts w:eastAsia="仿宋"/>
                <w:color w:val="auto"/>
                <w:szCs w:val="21"/>
                <w:highlight w:val="none"/>
              </w:rPr>
            </w:pPr>
            <w:r>
              <w:rPr>
                <w:rFonts w:eastAsia="仿宋"/>
                <w:color w:val="auto"/>
                <w:spacing w:val="1"/>
                <w:szCs w:val="21"/>
                <w:highlight w:val="none"/>
              </w:rPr>
              <w:t>+10</w:t>
            </w:r>
            <w:r>
              <w:rPr>
                <w:rFonts w:eastAsia="仿宋"/>
                <w:color w:val="auto"/>
                <w:spacing w:val="-2"/>
                <w:szCs w:val="21"/>
                <w:highlight w:val="none"/>
              </w:rPr>
              <w:t>，</w:t>
            </w:r>
            <w:r>
              <w:rPr>
                <w:rFonts w:eastAsia="仿宋"/>
                <w:color w:val="auto"/>
                <w:spacing w:val="1"/>
                <w:szCs w:val="21"/>
                <w:highlight w:val="none"/>
              </w:rPr>
              <w:t>0</w:t>
            </w:r>
          </w:p>
        </w:tc>
        <w:tc>
          <w:tcPr>
            <w:tcW w:w="1525" w:type="dxa"/>
            <w:gridSpan w:val="3"/>
            <w:vAlign w:val="center"/>
          </w:tcPr>
          <w:p>
            <w:pPr>
              <w:pStyle w:val="79"/>
              <w:adjustRightInd w:val="0"/>
              <w:snapToGrid w:val="0"/>
              <w:jc w:val="center"/>
              <w:rPr>
                <w:rFonts w:eastAsia="仿宋"/>
                <w:color w:val="auto"/>
                <w:sz w:val="21"/>
                <w:szCs w:val="21"/>
                <w:highlight w:val="none"/>
              </w:rPr>
            </w:pPr>
          </w:p>
        </w:tc>
        <w:tc>
          <w:tcPr>
            <w:tcW w:w="976" w:type="dxa"/>
            <w:vAlign w:val="center"/>
          </w:tcPr>
          <w:p>
            <w:pPr>
              <w:pStyle w:val="79"/>
              <w:adjustRightInd w:val="0"/>
              <w:snapToGrid w:val="0"/>
              <w:jc w:val="center"/>
              <w:rPr>
                <w:rFonts w:eastAsia="仿宋"/>
                <w:color w:val="auto"/>
                <w:sz w:val="21"/>
                <w:szCs w:val="21"/>
                <w:highlight w:val="none"/>
              </w:rPr>
            </w:pPr>
          </w:p>
        </w:tc>
        <w:tc>
          <w:tcPr>
            <w:tcW w:w="1872" w:type="dxa"/>
            <w:vMerge w:val="continue"/>
            <w:vAlign w:val="center"/>
          </w:tcPr>
          <w:p>
            <w:pPr>
              <w:pStyle w:val="79"/>
              <w:adjustRightInd w:val="0"/>
              <w:snapToGrid w:val="0"/>
              <w:jc w:val="center"/>
              <w:rPr>
                <w:rFonts w:eastAsia="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Before w:val="1"/>
          <w:wBefore w:w="16" w:type="dxa"/>
          <w:trHeight w:val="447" w:hRule="atLeast"/>
          <w:jc w:val="center"/>
        </w:trPr>
        <w:tc>
          <w:tcPr>
            <w:tcW w:w="530" w:type="dxa"/>
            <w:vMerge w:val="continue"/>
            <w:vAlign w:val="center"/>
          </w:tcPr>
          <w:p>
            <w:pPr>
              <w:pStyle w:val="79"/>
              <w:adjustRightInd w:val="0"/>
              <w:snapToGrid w:val="0"/>
              <w:jc w:val="center"/>
              <w:rPr>
                <w:rFonts w:eastAsia="仿宋"/>
                <w:color w:val="auto"/>
                <w:sz w:val="21"/>
                <w:szCs w:val="21"/>
                <w:highlight w:val="none"/>
              </w:rPr>
            </w:pPr>
          </w:p>
        </w:tc>
        <w:tc>
          <w:tcPr>
            <w:tcW w:w="861" w:type="dxa"/>
            <w:vMerge w:val="continue"/>
            <w:vAlign w:val="center"/>
          </w:tcPr>
          <w:p>
            <w:pPr>
              <w:pStyle w:val="79"/>
              <w:adjustRightInd w:val="0"/>
              <w:snapToGrid w:val="0"/>
              <w:jc w:val="center"/>
              <w:rPr>
                <w:rFonts w:eastAsia="仿宋"/>
                <w:color w:val="auto"/>
                <w:sz w:val="21"/>
                <w:szCs w:val="21"/>
                <w:highlight w:val="none"/>
              </w:rPr>
            </w:pPr>
          </w:p>
        </w:tc>
        <w:tc>
          <w:tcPr>
            <w:tcW w:w="1584" w:type="dxa"/>
            <w:vMerge w:val="restart"/>
            <w:vAlign w:val="center"/>
          </w:tcPr>
          <w:p>
            <w:pPr>
              <w:adjustRightInd w:val="0"/>
              <w:snapToGrid w:val="0"/>
              <w:jc w:val="center"/>
              <w:rPr>
                <w:rFonts w:eastAsia="仿宋"/>
                <w:color w:val="auto"/>
                <w:szCs w:val="21"/>
                <w:highlight w:val="none"/>
              </w:rPr>
            </w:pPr>
            <w:r>
              <w:rPr>
                <w:rFonts w:eastAsia="仿宋"/>
                <w:color w:val="auto"/>
                <w:spacing w:val="-8"/>
                <w:szCs w:val="21"/>
                <w:highlight w:val="none"/>
              </w:rPr>
              <w:t>吊环</w:t>
            </w:r>
          </w:p>
        </w:tc>
        <w:tc>
          <w:tcPr>
            <w:tcW w:w="1455" w:type="dxa"/>
            <w:gridSpan w:val="2"/>
            <w:vAlign w:val="center"/>
          </w:tcPr>
          <w:p>
            <w:pPr>
              <w:adjustRightInd w:val="0"/>
              <w:snapToGrid w:val="0"/>
              <w:jc w:val="center"/>
              <w:rPr>
                <w:rFonts w:eastAsia="仿宋"/>
                <w:color w:val="auto"/>
                <w:szCs w:val="21"/>
                <w:highlight w:val="none"/>
              </w:rPr>
            </w:pPr>
            <w:r>
              <w:rPr>
                <w:rFonts w:eastAsia="仿宋"/>
                <w:color w:val="auto"/>
                <w:szCs w:val="21"/>
                <w:highlight w:val="none"/>
              </w:rPr>
              <w:t>中心线位置</w:t>
            </w:r>
          </w:p>
        </w:tc>
        <w:tc>
          <w:tcPr>
            <w:tcW w:w="942" w:type="dxa"/>
            <w:vAlign w:val="center"/>
          </w:tcPr>
          <w:p>
            <w:pPr>
              <w:adjustRightInd w:val="0"/>
              <w:snapToGrid w:val="0"/>
              <w:jc w:val="center"/>
              <w:rPr>
                <w:rFonts w:eastAsia="仿宋"/>
                <w:color w:val="auto"/>
                <w:szCs w:val="21"/>
                <w:highlight w:val="none"/>
              </w:rPr>
            </w:pPr>
            <w:r>
              <w:rPr>
                <w:rFonts w:eastAsia="仿宋"/>
                <w:color w:val="auto"/>
                <w:spacing w:val="2"/>
                <w:position w:val="2"/>
                <w:szCs w:val="21"/>
                <w:highlight w:val="none"/>
              </w:rPr>
              <w:t>3</w:t>
            </w:r>
          </w:p>
        </w:tc>
        <w:tc>
          <w:tcPr>
            <w:tcW w:w="1525" w:type="dxa"/>
            <w:gridSpan w:val="3"/>
            <w:vAlign w:val="center"/>
          </w:tcPr>
          <w:p>
            <w:pPr>
              <w:pStyle w:val="79"/>
              <w:adjustRightInd w:val="0"/>
              <w:snapToGrid w:val="0"/>
              <w:jc w:val="center"/>
              <w:rPr>
                <w:rFonts w:eastAsia="仿宋"/>
                <w:color w:val="auto"/>
                <w:sz w:val="21"/>
                <w:szCs w:val="21"/>
                <w:highlight w:val="none"/>
              </w:rPr>
            </w:pPr>
          </w:p>
        </w:tc>
        <w:tc>
          <w:tcPr>
            <w:tcW w:w="976" w:type="dxa"/>
            <w:vAlign w:val="center"/>
          </w:tcPr>
          <w:p>
            <w:pPr>
              <w:pStyle w:val="79"/>
              <w:adjustRightInd w:val="0"/>
              <w:snapToGrid w:val="0"/>
              <w:jc w:val="center"/>
              <w:rPr>
                <w:rFonts w:eastAsia="仿宋"/>
                <w:color w:val="auto"/>
                <w:sz w:val="21"/>
                <w:szCs w:val="21"/>
                <w:highlight w:val="none"/>
              </w:rPr>
            </w:pPr>
          </w:p>
        </w:tc>
        <w:tc>
          <w:tcPr>
            <w:tcW w:w="1872" w:type="dxa"/>
            <w:vMerge w:val="continue"/>
            <w:vAlign w:val="center"/>
          </w:tcPr>
          <w:p>
            <w:pPr>
              <w:pStyle w:val="79"/>
              <w:adjustRightInd w:val="0"/>
              <w:snapToGrid w:val="0"/>
              <w:jc w:val="center"/>
              <w:rPr>
                <w:rFonts w:eastAsia="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Before w:val="1"/>
          <w:wBefore w:w="16" w:type="dxa"/>
          <w:trHeight w:val="447" w:hRule="atLeast"/>
          <w:jc w:val="center"/>
        </w:trPr>
        <w:tc>
          <w:tcPr>
            <w:tcW w:w="530" w:type="dxa"/>
            <w:vMerge w:val="continue"/>
            <w:vAlign w:val="center"/>
          </w:tcPr>
          <w:p>
            <w:pPr>
              <w:pStyle w:val="79"/>
              <w:adjustRightInd w:val="0"/>
              <w:snapToGrid w:val="0"/>
              <w:jc w:val="center"/>
              <w:rPr>
                <w:rFonts w:eastAsia="仿宋"/>
                <w:color w:val="auto"/>
                <w:sz w:val="21"/>
                <w:szCs w:val="21"/>
                <w:highlight w:val="none"/>
              </w:rPr>
            </w:pPr>
          </w:p>
        </w:tc>
        <w:tc>
          <w:tcPr>
            <w:tcW w:w="861" w:type="dxa"/>
            <w:vMerge w:val="continue"/>
            <w:vAlign w:val="center"/>
          </w:tcPr>
          <w:p>
            <w:pPr>
              <w:pStyle w:val="79"/>
              <w:adjustRightInd w:val="0"/>
              <w:snapToGrid w:val="0"/>
              <w:jc w:val="center"/>
              <w:rPr>
                <w:rFonts w:eastAsia="仿宋"/>
                <w:color w:val="auto"/>
                <w:sz w:val="21"/>
                <w:szCs w:val="21"/>
                <w:highlight w:val="none"/>
              </w:rPr>
            </w:pPr>
          </w:p>
        </w:tc>
        <w:tc>
          <w:tcPr>
            <w:tcW w:w="1584" w:type="dxa"/>
            <w:vMerge w:val="continue"/>
            <w:vAlign w:val="center"/>
          </w:tcPr>
          <w:p>
            <w:pPr>
              <w:pStyle w:val="79"/>
              <w:adjustRightInd w:val="0"/>
              <w:snapToGrid w:val="0"/>
              <w:jc w:val="center"/>
              <w:rPr>
                <w:rFonts w:eastAsia="仿宋"/>
                <w:color w:val="auto"/>
                <w:sz w:val="21"/>
                <w:szCs w:val="21"/>
                <w:highlight w:val="none"/>
              </w:rPr>
            </w:pPr>
          </w:p>
        </w:tc>
        <w:tc>
          <w:tcPr>
            <w:tcW w:w="1455" w:type="dxa"/>
            <w:gridSpan w:val="2"/>
            <w:vAlign w:val="center"/>
          </w:tcPr>
          <w:p>
            <w:pPr>
              <w:adjustRightInd w:val="0"/>
              <w:snapToGrid w:val="0"/>
              <w:jc w:val="center"/>
              <w:rPr>
                <w:rFonts w:eastAsia="仿宋"/>
                <w:color w:val="auto"/>
                <w:szCs w:val="21"/>
                <w:highlight w:val="none"/>
              </w:rPr>
            </w:pPr>
            <w:r>
              <w:rPr>
                <w:rFonts w:hint="eastAsia" w:eastAsia="仿宋"/>
                <w:color w:val="auto"/>
                <w:spacing w:val="1"/>
                <w:szCs w:val="21"/>
                <w:highlight w:val="none"/>
                <w:lang w:eastAsia="zh-CN"/>
              </w:rPr>
              <w:t>外露</w:t>
            </w:r>
            <w:r>
              <w:rPr>
                <w:rFonts w:eastAsia="仿宋"/>
                <w:color w:val="auto"/>
                <w:spacing w:val="1"/>
                <w:szCs w:val="21"/>
                <w:highlight w:val="none"/>
              </w:rPr>
              <w:t>长度</w:t>
            </w:r>
          </w:p>
        </w:tc>
        <w:tc>
          <w:tcPr>
            <w:tcW w:w="942" w:type="dxa"/>
            <w:vAlign w:val="center"/>
          </w:tcPr>
          <w:p>
            <w:pPr>
              <w:adjustRightInd w:val="0"/>
              <w:snapToGrid w:val="0"/>
              <w:jc w:val="center"/>
              <w:rPr>
                <w:rFonts w:eastAsia="仿宋"/>
                <w:color w:val="auto"/>
                <w:szCs w:val="21"/>
                <w:highlight w:val="none"/>
              </w:rPr>
            </w:pPr>
            <w:r>
              <w:rPr>
                <w:rFonts w:eastAsia="仿宋"/>
                <w:color w:val="auto"/>
                <w:spacing w:val="-6"/>
                <w:position w:val="2"/>
                <w:szCs w:val="21"/>
                <w:highlight w:val="none"/>
              </w:rPr>
              <w:t>0</w:t>
            </w:r>
            <w:r>
              <w:rPr>
                <w:rFonts w:eastAsia="仿宋"/>
                <w:color w:val="auto"/>
                <w:spacing w:val="-2"/>
                <w:szCs w:val="21"/>
                <w:highlight w:val="none"/>
              </w:rPr>
              <w:t>，</w:t>
            </w:r>
            <w:r>
              <w:rPr>
                <w:rFonts w:eastAsia="仿宋"/>
                <w:color w:val="auto"/>
                <w:spacing w:val="-6"/>
                <w:position w:val="2"/>
                <w:szCs w:val="21"/>
                <w:highlight w:val="none"/>
              </w:rPr>
              <w:t>-5</w:t>
            </w:r>
          </w:p>
        </w:tc>
        <w:tc>
          <w:tcPr>
            <w:tcW w:w="1525" w:type="dxa"/>
            <w:gridSpan w:val="3"/>
            <w:vAlign w:val="center"/>
          </w:tcPr>
          <w:p>
            <w:pPr>
              <w:pStyle w:val="79"/>
              <w:adjustRightInd w:val="0"/>
              <w:snapToGrid w:val="0"/>
              <w:jc w:val="center"/>
              <w:rPr>
                <w:rFonts w:eastAsia="仿宋"/>
                <w:color w:val="auto"/>
                <w:sz w:val="21"/>
                <w:szCs w:val="21"/>
                <w:highlight w:val="none"/>
              </w:rPr>
            </w:pPr>
          </w:p>
        </w:tc>
        <w:tc>
          <w:tcPr>
            <w:tcW w:w="976" w:type="dxa"/>
            <w:vAlign w:val="center"/>
          </w:tcPr>
          <w:p>
            <w:pPr>
              <w:pStyle w:val="79"/>
              <w:adjustRightInd w:val="0"/>
              <w:snapToGrid w:val="0"/>
              <w:jc w:val="center"/>
              <w:rPr>
                <w:rFonts w:eastAsia="仿宋"/>
                <w:color w:val="auto"/>
                <w:sz w:val="21"/>
                <w:szCs w:val="21"/>
                <w:highlight w:val="none"/>
              </w:rPr>
            </w:pPr>
          </w:p>
        </w:tc>
        <w:tc>
          <w:tcPr>
            <w:tcW w:w="1872" w:type="dxa"/>
            <w:vMerge w:val="continue"/>
            <w:vAlign w:val="center"/>
          </w:tcPr>
          <w:p>
            <w:pPr>
              <w:pStyle w:val="79"/>
              <w:adjustRightInd w:val="0"/>
              <w:snapToGrid w:val="0"/>
              <w:jc w:val="center"/>
              <w:rPr>
                <w:rFonts w:eastAsia="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Before w:val="1"/>
          <w:wBefore w:w="16" w:type="dxa"/>
          <w:trHeight w:val="447" w:hRule="atLeast"/>
          <w:jc w:val="center"/>
        </w:trPr>
        <w:tc>
          <w:tcPr>
            <w:tcW w:w="530" w:type="dxa"/>
            <w:vMerge w:val="continue"/>
            <w:vAlign w:val="center"/>
          </w:tcPr>
          <w:p>
            <w:pPr>
              <w:pStyle w:val="79"/>
              <w:adjustRightInd w:val="0"/>
              <w:snapToGrid w:val="0"/>
              <w:jc w:val="center"/>
              <w:rPr>
                <w:rFonts w:eastAsia="仿宋"/>
                <w:color w:val="auto"/>
                <w:sz w:val="21"/>
                <w:szCs w:val="21"/>
                <w:highlight w:val="none"/>
              </w:rPr>
            </w:pPr>
          </w:p>
        </w:tc>
        <w:tc>
          <w:tcPr>
            <w:tcW w:w="861" w:type="dxa"/>
            <w:vMerge w:val="continue"/>
            <w:vAlign w:val="center"/>
          </w:tcPr>
          <w:p>
            <w:pPr>
              <w:pStyle w:val="79"/>
              <w:adjustRightInd w:val="0"/>
              <w:snapToGrid w:val="0"/>
              <w:jc w:val="center"/>
              <w:rPr>
                <w:rFonts w:eastAsia="仿宋"/>
                <w:color w:val="auto"/>
                <w:sz w:val="21"/>
                <w:szCs w:val="21"/>
                <w:highlight w:val="none"/>
              </w:rPr>
            </w:pPr>
          </w:p>
        </w:tc>
        <w:tc>
          <w:tcPr>
            <w:tcW w:w="1584" w:type="dxa"/>
            <w:vMerge w:val="restart"/>
            <w:vAlign w:val="center"/>
          </w:tcPr>
          <w:p>
            <w:pPr>
              <w:adjustRightInd w:val="0"/>
              <w:snapToGrid w:val="0"/>
              <w:jc w:val="center"/>
              <w:rPr>
                <w:rFonts w:eastAsia="仿宋"/>
                <w:color w:val="auto"/>
                <w:szCs w:val="21"/>
                <w:highlight w:val="none"/>
              </w:rPr>
            </w:pPr>
            <w:r>
              <w:rPr>
                <w:rFonts w:eastAsia="仿宋"/>
                <w:color w:val="auto"/>
                <w:spacing w:val="2"/>
                <w:szCs w:val="21"/>
                <w:highlight w:val="none"/>
              </w:rPr>
              <w:t>预埋螺栓</w:t>
            </w:r>
          </w:p>
        </w:tc>
        <w:tc>
          <w:tcPr>
            <w:tcW w:w="1455" w:type="dxa"/>
            <w:gridSpan w:val="2"/>
            <w:vAlign w:val="center"/>
          </w:tcPr>
          <w:p>
            <w:pPr>
              <w:adjustRightInd w:val="0"/>
              <w:snapToGrid w:val="0"/>
              <w:jc w:val="center"/>
              <w:rPr>
                <w:rFonts w:eastAsia="仿宋"/>
                <w:color w:val="auto"/>
                <w:szCs w:val="21"/>
                <w:highlight w:val="none"/>
              </w:rPr>
            </w:pPr>
            <w:r>
              <w:rPr>
                <w:rFonts w:eastAsia="仿宋"/>
                <w:color w:val="auto"/>
                <w:szCs w:val="21"/>
                <w:highlight w:val="none"/>
              </w:rPr>
              <w:t>中心线位置</w:t>
            </w:r>
          </w:p>
        </w:tc>
        <w:tc>
          <w:tcPr>
            <w:tcW w:w="942" w:type="dxa"/>
            <w:vAlign w:val="center"/>
          </w:tcPr>
          <w:p>
            <w:pPr>
              <w:adjustRightInd w:val="0"/>
              <w:snapToGrid w:val="0"/>
              <w:jc w:val="center"/>
              <w:rPr>
                <w:rFonts w:eastAsia="仿宋"/>
                <w:color w:val="auto"/>
                <w:szCs w:val="21"/>
                <w:highlight w:val="none"/>
              </w:rPr>
            </w:pPr>
            <w:r>
              <w:rPr>
                <w:rFonts w:eastAsia="仿宋"/>
                <w:color w:val="auto"/>
                <w:spacing w:val="1"/>
                <w:szCs w:val="21"/>
                <w:highlight w:val="none"/>
              </w:rPr>
              <w:t>2</w:t>
            </w:r>
          </w:p>
        </w:tc>
        <w:tc>
          <w:tcPr>
            <w:tcW w:w="1525" w:type="dxa"/>
            <w:gridSpan w:val="3"/>
            <w:vAlign w:val="center"/>
          </w:tcPr>
          <w:p>
            <w:pPr>
              <w:pStyle w:val="79"/>
              <w:adjustRightInd w:val="0"/>
              <w:snapToGrid w:val="0"/>
              <w:ind w:left="1" w:hanging="1"/>
              <w:jc w:val="center"/>
              <w:rPr>
                <w:rFonts w:eastAsia="仿宋"/>
                <w:color w:val="auto"/>
                <w:sz w:val="21"/>
                <w:szCs w:val="21"/>
                <w:highlight w:val="none"/>
              </w:rPr>
            </w:pPr>
          </w:p>
        </w:tc>
        <w:tc>
          <w:tcPr>
            <w:tcW w:w="976" w:type="dxa"/>
            <w:vAlign w:val="center"/>
          </w:tcPr>
          <w:p>
            <w:pPr>
              <w:pStyle w:val="79"/>
              <w:adjustRightInd w:val="0"/>
              <w:snapToGrid w:val="0"/>
              <w:jc w:val="center"/>
              <w:rPr>
                <w:rFonts w:eastAsia="仿宋"/>
                <w:color w:val="auto"/>
                <w:sz w:val="21"/>
                <w:szCs w:val="21"/>
                <w:highlight w:val="none"/>
              </w:rPr>
            </w:pPr>
          </w:p>
        </w:tc>
        <w:tc>
          <w:tcPr>
            <w:tcW w:w="1872" w:type="dxa"/>
            <w:vAlign w:val="center"/>
          </w:tcPr>
          <w:p>
            <w:pPr>
              <w:pStyle w:val="79"/>
              <w:adjustRightInd w:val="0"/>
              <w:snapToGrid w:val="0"/>
              <w:jc w:val="center"/>
              <w:rPr>
                <w:rFonts w:eastAsia="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Before w:val="1"/>
          <w:wBefore w:w="16" w:type="dxa"/>
          <w:trHeight w:val="447" w:hRule="atLeast"/>
          <w:jc w:val="center"/>
        </w:trPr>
        <w:tc>
          <w:tcPr>
            <w:tcW w:w="530" w:type="dxa"/>
            <w:vMerge w:val="continue"/>
            <w:vAlign w:val="center"/>
          </w:tcPr>
          <w:p>
            <w:pPr>
              <w:pStyle w:val="79"/>
              <w:adjustRightInd w:val="0"/>
              <w:snapToGrid w:val="0"/>
              <w:jc w:val="center"/>
              <w:rPr>
                <w:rFonts w:eastAsia="仿宋"/>
                <w:color w:val="auto"/>
                <w:sz w:val="21"/>
                <w:szCs w:val="21"/>
                <w:highlight w:val="none"/>
              </w:rPr>
            </w:pPr>
          </w:p>
        </w:tc>
        <w:tc>
          <w:tcPr>
            <w:tcW w:w="861" w:type="dxa"/>
            <w:vMerge w:val="continue"/>
            <w:vAlign w:val="center"/>
          </w:tcPr>
          <w:p>
            <w:pPr>
              <w:pStyle w:val="79"/>
              <w:adjustRightInd w:val="0"/>
              <w:snapToGrid w:val="0"/>
              <w:jc w:val="center"/>
              <w:rPr>
                <w:rFonts w:eastAsia="仿宋"/>
                <w:color w:val="auto"/>
                <w:sz w:val="21"/>
                <w:szCs w:val="21"/>
                <w:highlight w:val="none"/>
              </w:rPr>
            </w:pPr>
          </w:p>
        </w:tc>
        <w:tc>
          <w:tcPr>
            <w:tcW w:w="1584" w:type="dxa"/>
            <w:vMerge w:val="continue"/>
            <w:vAlign w:val="center"/>
          </w:tcPr>
          <w:p>
            <w:pPr>
              <w:pStyle w:val="79"/>
              <w:adjustRightInd w:val="0"/>
              <w:snapToGrid w:val="0"/>
              <w:jc w:val="center"/>
              <w:rPr>
                <w:rFonts w:eastAsia="仿宋"/>
                <w:color w:val="auto"/>
                <w:sz w:val="21"/>
                <w:szCs w:val="21"/>
                <w:highlight w:val="none"/>
              </w:rPr>
            </w:pPr>
          </w:p>
        </w:tc>
        <w:tc>
          <w:tcPr>
            <w:tcW w:w="1455" w:type="dxa"/>
            <w:gridSpan w:val="2"/>
            <w:vAlign w:val="center"/>
          </w:tcPr>
          <w:p>
            <w:pPr>
              <w:adjustRightInd w:val="0"/>
              <w:snapToGrid w:val="0"/>
              <w:jc w:val="center"/>
              <w:rPr>
                <w:rFonts w:eastAsia="仿宋"/>
                <w:color w:val="auto"/>
                <w:szCs w:val="21"/>
                <w:highlight w:val="none"/>
              </w:rPr>
            </w:pPr>
            <w:r>
              <w:rPr>
                <w:rFonts w:eastAsia="仿宋"/>
                <w:color w:val="auto"/>
                <w:spacing w:val="1"/>
                <w:szCs w:val="21"/>
                <w:highlight w:val="none"/>
              </w:rPr>
              <w:t>外漏长度</w:t>
            </w:r>
          </w:p>
        </w:tc>
        <w:tc>
          <w:tcPr>
            <w:tcW w:w="942" w:type="dxa"/>
            <w:vAlign w:val="center"/>
          </w:tcPr>
          <w:p>
            <w:pPr>
              <w:adjustRightInd w:val="0"/>
              <w:snapToGrid w:val="0"/>
              <w:jc w:val="center"/>
              <w:rPr>
                <w:rFonts w:eastAsia="仿宋"/>
                <w:color w:val="auto"/>
                <w:szCs w:val="21"/>
                <w:highlight w:val="none"/>
              </w:rPr>
            </w:pPr>
            <w:r>
              <w:rPr>
                <w:rFonts w:eastAsia="仿宋"/>
                <w:color w:val="auto"/>
                <w:position w:val="2"/>
                <w:szCs w:val="21"/>
                <w:highlight w:val="none"/>
              </w:rPr>
              <w:t>+5</w:t>
            </w:r>
            <w:r>
              <w:rPr>
                <w:rFonts w:eastAsia="仿宋"/>
                <w:color w:val="auto"/>
                <w:spacing w:val="-2"/>
                <w:szCs w:val="21"/>
                <w:highlight w:val="none"/>
              </w:rPr>
              <w:t>，</w:t>
            </w:r>
            <w:r>
              <w:rPr>
                <w:rFonts w:eastAsia="仿宋"/>
                <w:color w:val="auto"/>
                <w:position w:val="2"/>
                <w:szCs w:val="21"/>
                <w:highlight w:val="none"/>
              </w:rPr>
              <w:t>0</w:t>
            </w:r>
          </w:p>
        </w:tc>
        <w:tc>
          <w:tcPr>
            <w:tcW w:w="1525" w:type="dxa"/>
            <w:gridSpan w:val="3"/>
            <w:vAlign w:val="center"/>
          </w:tcPr>
          <w:p>
            <w:pPr>
              <w:pStyle w:val="79"/>
              <w:adjustRightInd w:val="0"/>
              <w:snapToGrid w:val="0"/>
              <w:jc w:val="center"/>
              <w:rPr>
                <w:rFonts w:eastAsia="仿宋"/>
                <w:color w:val="auto"/>
                <w:sz w:val="21"/>
                <w:szCs w:val="21"/>
                <w:highlight w:val="none"/>
              </w:rPr>
            </w:pPr>
          </w:p>
        </w:tc>
        <w:tc>
          <w:tcPr>
            <w:tcW w:w="976" w:type="dxa"/>
            <w:vAlign w:val="center"/>
          </w:tcPr>
          <w:p>
            <w:pPr>
              <w:pStyle w:val="79"/>
              <w:adjustRightInd w:val="0"/>
              <w:snapToGrid w:val="0"/>
              <w:jc w:val="center"/>
              <w:rPr>
                <w:rFonts w:eastAsia="仿宋"/>
                <w:color w:val="auto"/>
                <w:sz w:val="21"/>
                <w:szCs w:val="21"/>
                <w:highlight w:val="none"/>
              </w:rPr>
            </w:pPr>
          </w:p>
        </w:tc>
        <w:tc>
          <w:tcPr>
            <w:tcW w:w="1872" w:type="dxa"/>
            <w:vAlign w:val="center"/>
          </w:tcPr>
          <w:p>
            <w:pPr>
              <w:pStyle w:val="79"/>
              <w:adjustRightInd w:val="0"/>
              <w:snapToGrid w:val="0"/>
              <w:jc w:val="center"/>
              <w:rPr>
                <w:rFonts w:eastAsia="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Before w:val="1"/>
          <w:wBefore w:w="16" w:type="dxa"/>
          <w:trHeight w:val="447" w:hRule="atLeast"/>
          <w:jc w:val="center"/>
        </w:trPr>
        <w:tc>
          <w:tcPr>
            <w:tcW w:w="530" w:type="dxa"/>
            <w:vMerge w:val="continue"/>
            <w:vAlign w:val="center"/>
          </w:tcPr>
          <w:p>
            <w:pPr>
              <w:pStyle w:val="79"/>
              <w:adjustRightInd w:val="0"/>
              <w:snapToGrid w:val="0"/>
              <w:jc w:val="center"/>
              <w:rPr>
                <w:rFonts w:eastAsia="仿宋"/>
                <w:color w:val="auto"/>
                <w:sz w:val="21"/>
                <w:szCs w:val="21"/>
                <w:highlight w:val="none"/>
              </w:rPr>
            </w:pPr>
          </w:p>
        </w:tc>
        <w:tc>
          <w:tcPr>
            <w:tcW w:w="861" w:type="dxa"/>
            <w:vMerge w:val="continue"/>
            <w:vAlign w:val="center"/>
          </w:tcPr>
          <w:p>
            <w:pPr>
              <w:pStyle w:val="79"/>
              <w:adjustRightInd w:val="0"/>
              <w:snapToGrid w:val="0"/>
              <w:jc w:val="center"/>
              <w:rPr>
                <w:rFonts w:eastAsia="仿宋"/>
                <w:color w:val="auto"/>
                <w:sz w:val="21"/>
                <w:szCs w:val="21"/>
                <w:highlight w:val="none"/>
              </w:rPr>
            </w:pPr>
          </w:p>
        </w:tc>
        <w:tc>
          <w:tcPr>
            <w:tcW w:w="1584" w:type="dxa"/>
            <w:vMerge w:val="restart"/>
            <w:vAlign w:val="center"/>
          </w:tcPr>
          <w:p>
            <w:pPr>
              <w:adjustRightInd w:val="0"/>
              <w:snapToGrid w:val="0"/>
              <w:jc w:val="center"/>
              <w:rPr>
                <w:rFonts w:eastAsia="仿宋"/>
                <w:color w:val="auto"/>
                <w:szCs w:val="21"/>
                <w:highlight w:val="none"/>
              </w:rPr>
            </w:pPr>
            <w:r>
              <w:rPr>
                <w:rFonts w:eastAsia="仿宋"/>
                <w:color w:val="auto"/>
                <w:spacing w:val="2"/>
                <w:szCs w:val="21"/>
                <w:highlight w:val="none"/>
              </w:rPr>
              <w:t>预埋螺母</w:t>
            </w:r>
          </w:p>
        </w:tc>
        <w:tc>
          <w:tcPr>
            <w:tcW w:w="1455" w:type="dxa"/>
            <w:gridSpan w:val="2"/>
            <w:vAlign w:val="center"/>
          </w:tcPr>
          <w:p>
            <w:pPr>
              <w:adjustRightInd w:val="0"/>
              <w:snapToGrid w:val="0"/>
              <w:jc w:val="center"/>
              <w:rPr>
                <w:rFonts w:eastAsia="仿宋"/>
                <w:color w:val="auto"/>
                <w:szCs w:val="21"/>
                <w:highlight w:val="none"/>
              </w:rPr>
            </w:pPr>
            <w:r>
              <w:rPr>
                <w:rFonts w:eastAsia="仿宋"/>
                <w:color w:val="auto"/>
                <w:szCs w:val="21"/>
                <w:highlight w:val="none"/>
              </w:rPr>
              <w:t>中心线位置</w:t>
            </w:r>
          </w:p>
        </w:tc>
        <w:tc>
          <w:tcPr>
            <w:tcW w:w="942" w:type="dxa"/>
            <w:vAlign w:val="center"/>
          </w:tcPr>
          <w:p>
            <w:pPr>
              <w:adjustRightInd w:val="0"/>
              <w:snapToGrid w:val="0"/>
              <w:jc w:val="center"/>
              <w:rPr>
                <w:rFonts w:eastAsia="仿宋"/>
                <w:color w:val="auto"/>
                <w:szCs w:val="21"/>
                <w:highlight w:val="none"/>
              </w:rPr>
            </w:pPr>
            <w:r>
              <w:rPr>
                <w:rFonts w:eastAsia="仿宋"/>
                <w:color w:val="auto"/>
                <w:spacing w:val="1"/>
                <w:szCs w:val="21"/>
                <w:highlight w:val="none"/>
              </w:rPr>
              <w:t>2</w:t>
            </w:r>
          </w:p>
        </w:tc>
        <w:tc>
          <w:tcPr>
            <w:tcW w:w="1525" w:type="dxa"/>
            <w:gridSpan w:val="3"/>
            <w:vAlign w:val="center"/>
          </w:tcPr>
          <w:p>
            <w:pPr>
              <w:pStyle w:val="79"/>
              <w:adjustRightInd w:val="0"/>
              <w:snapToGrid w:val="0"/>
              <w:jc w:val="center"/>
              <w:rPr>
                <w:rFonts w:eastAsia="仿宋"/>
                <w:color w:val="auto"/>
                <w:sz w:val="21"/>
                <w:szCs w:val="21"/>
                <w:highlight w:val="none"/>
              </w:rPr>
            </w:pPr>
          </w:p>
        </w:tc>
        <w:tc>
          <w:tcPr>
            <w:tcW w:w="976" w:type="dxa"/>
            <w:vAlign w:val="center"/>
          </w:tcPr>
          <w:p>
            <w:pPr>
              <w:pStyle w:val="79"/>
              <w:adjustRightInd w:val="0"/>
              <w:snapToGrid w:val="0"/>
              <w:jc w:val="center"/>
              <w:rPr>
                <w:rFonts w:eastAsia="仿宋"/>
                <w:color w:val="auto"/>
                <w:sz w:val="21"/>
                <w:szCs w:val="21"/>
                <w:highlight w:val="none"/>
              </w:rPr>
            </w:pPr>
          </w:p>
        </w:tc>
        <w:tc>
          <w:tcPr>
            <w:tcW w:w="1872" w:type="dxa"/>
            <w:vAlign w:val="center"/>
          </w:tcPr>
          <w:p>
            <w:pPr>
              <w:pStyle w:val="79"/>
              <w:adjustRightInd w:val="0"/>
              <w:snapToGrid w:val="0"/>
              <w:jc w:val="center"/>
              <w:rPr>
                <w:rFonts w:eastAsia="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Before w:val="1"/>
          <w:wBefore w:w="16" w:type="dxa"/>
          <w:trHeight w:val="447" w:hRule="atLeast"/>
          <w:jc w:val="center"/>
        </w:trPr>
        <w:tc>
          <w:tcPr>
            <w:tcW w:w="530" w:type="dxa"/>
            <w:vMerge w:val="continue"/>
            <w:vAlign w:val="center"/>
          </w:tcPr>
          <w:p>
            <w:pPr>
              <w:pStyle w:val="79"/>
              <w:adjustRightInd w:val="0"/>
              <w:snapToGrid w:val="0"/>
              <w:jc w:val="center"/>
              <w:rPr>
                <w:rFonts w:eastAsia="仿宋"/>
                <w:color w:val="auto"/>
                <w:sz w:val="21"/>
                <w:szCs w:val="21"/>
                <w:highlight w:val="none"/>
              </w:rPr>
            </w:pPr>
          </w:p>
        </w:tc>
        <w:tc>
          <w:tcPr>
            <w:tcW w:w="861" w:type="dxa"/>
            <w:vMerge w:val="continue"/>
            <w:vAlign w:val="center"/>
          </w:tcPr>
          <w:p>
            <w:pPr>
              <w:pStyle w:val="79"/>
              <w:adjustRightInd w:val="0"/>
              <w:snapToGrid w:val="0"/>
              <w:jc w:val="center"/>
              <w:rPr>
                <w:rFonts w:eastAsia="仿宋"/>
                <w:color w:val="auto"/>
                <w:sz w:val="21"/>
                <w:szCs w:val="21"/>
                <w:highlight w:val="none"/>
              </w:rPr>
            </w:pPr>
          </w:p>
        </w:tc>
        <w:tc>
          <w:tcPr>
            <w:tcW w:w="1584" w:type="dxa"/>
            <w:vMerge w:val="continue"/>
            <w:vAlign w:val="center"/>
          </w:tcPr>
          <w:p>
            <w:pPr>
              <w:pStyle w:val="79"/>
              <w:adjustRightInd w:val="0"/>
              <w:snapToGrid w:val="0"/>
              <w:jc w:val="center"/>
              <w:rPr>
                <w:rFonts w:eastAsia="仿宋"/>
                <w:color w:val="auto"/>
                <w:sz w:val="21"/>
                <w:szCs w:val="21"/>
                <w:highlight w:val="none"/>
              </w:rPr>
            </w:pPr>
          </w:p>
        </w:tc>
        <w:tc>
          <w:tcPr>
            <w:tcW w:w="1455" w:type="dxa"/>
            <w:gridSpan w:val="2"/>
            <w:vAlign w:val="center"/>
          </w:tcPr>
          <w:p>
            <w:pPr>
              <w:adjustRightInd w:val="0"/>
              <w:snapToGrid w:val="0"/>
              <w:jc w:val="center"/>
              <w:rPr>
                <w:rFonts w:eastAsia="仿宋"/>
                <w:color w:val="auto"/>
                <w:szCs w:val="21"/>
                <w:highlight w:val="none"/>
              </w:rPr>
            </w:pPr>
            <w:r>
              <w:rPr>
                <w:rFonts w:eastAsia="仿宋"/>
                <w:color w:val="auto"/>
                <w:spacing w:val="2"/>
                <w:szCs w:val="21"/>
                <w:highlight w:val="none"/>
              </w:rPr>
              <w:t>平面高差</w:t>
            </w:r>
          </w:p>
        </w:tc>
        <w:tc>
          <w:tcPr>
            <w:tcW w:w="942" w:type="dxa"/>
            <w:vAlign w:val="center"/>
          </w:tcPr>
          <w:p>
            <w:pPr>
              <w:adjustRightInd w:val="0"/>
              <w:snapToGrid w:val="0"/>
              <w:jc w:val="center"/>
              <w:rPr>
                <w:rFonts w:eastAsia="仿宋"/>
                <w:color w:val="auto"/>
                <w:szCs w:val="21"/>
                <w:highlight w:val="none"/>
              </w:rPr>
            </w:pPr>
            <w:r>
              <w:rPr>
                <w:rFonts w:eastAsia="仿宋"/>
                <w:color w:val="auto"/>
                <w:spacing w:val="11"/>
                <w:szCs w:val="21"/>
                <w:highlight w:val="none"/>
              </w:rPr>
              <w:t>±1</w:t>
            </w:r>
          </w:p>
        </w:tc>
        <w:tc>
          <w:tcPr>
            <w:tcW w:w="1525" w:type="dxa"/>
            <w:gridSpan w:val="3"/>
            <w:vAlign w:val="center"/>
          </w:tcPr>
          <w:p>
            <w:pPr>
              <w:pStyle w:val="79"/>
              <w:adjustRightInd w:val="0"/>
              <w:snapToGrid w:val="0"/>
              <w:jc w:val="center"/>
              <w:rPr>
                <w:rFonts w:eastAsia="仿宋"/>
                <w:color w:val="auto"/>
                <w:sz w:val="21"/>
                <w:szCs w:val="21"/>
                <w:highlight w:val="none"/>
              </w:rPr>
            </w:pPr>
          </w:p>
        </w:tc>
        <w:tc>
          <w:tcPr>
            <w:tcW w:w="976" w:type="dxa"/>
            <w:vAlign w:val="center"/>
          </w:tcPr>
          <w:p>
            <w:pPr>
              <w:pStyle w:val="79"/>
              <w:adjustRightInd w:val="0"/>
              <w:snapToGrid w:val="0"/>
              <w:jc w:val="center"/>
              <w:rPr>
                <w:rFonts w:eastAsia="仿宋"/>
                <w:color w:val="auto"/>
                <w:sz w:val="21"/>
                <w:szCs w:val="21"/>
                <w:highlight w:val="none"/>
              </w:rPr>
            </w:pPr>
          </w:p>
        </w:tc>
        <w:tc>
          <w:tcPr>
            <w:tcW w:w="1872" w:type="dxa"/>
            <w:vAlign w:val="center"/>
          </w:tcPr>
          <w:p>
            <w:pPr>
              <w:pStyle w:val="79"/>
              <w:adjustRightInd w:val="0"/>
              <w:snapToGrid w:val="0"/>
              <w:jc w:val="center"/>
              <w:rPr>
                <w:rFonts w:eastAsia="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Before w:val="1"/>
          <w:wBefore w:w="16" w:type="dxa"/>
          <w:trHeight w:val="447" w:hRule="atLeast"/>
          <w:jc w:val="center"/>
        </w:trPr>
        <w:tc>
          <w:tcPr>
            <w:tcW w:w="530" w:type="dxa"/>
            <w:vMerge w:val="continue"/>
            <w:vAlign w:val="center"/>
          </w:tcPr>
          <w:p>
            <w:pPr>
              <w:pStyle w:val="79"/>
              <w:adjustRightInd w:val="0"/>
              <w:snapToGrid w:val="0"/>
              <w:jc w:val="center"/>
              <w:rPr>
                <w:rFonts w:eastAsia="仿宋"/>
                <w:color w:val="auto"/>
                <w:sz w:val="21"/>
                <w:szCs w:val="21"/>
                <w:highlight w:val="none"/>
              </w:rPr>
            </w:pPr>
          </w:p>
        </w:tc>
        <w:tc>
          <w:tcPr>
            <w:tcW w:w="861" w:type="dxa"/>
            <w:vMerge w:val="continue"/>
            <w:vAlign w:val="center"/>
          </w:tcPr>
          <w:p>
            <w:pPr>
              <w:pStyle w:val="79"/>
              <w:adjustRightInd w:val="0"/>
              <w:snapToGrid w:val="0"/>
              <w:jc w:val="center"/>
              <w:rPr>
                <w:rFonts w:eastAsia="仿宋"/>
                <w:color w:val="auto"/>
                <w:sz w:val="21"/>
                <w:szCs w:val="21"/>
                <w:highlight w:val="none"/>
              </w:rPr>
            </w:pPr>
          </w:p>
        </w:tc>
        <w:tc>
          <w:tcPr>
            <w:tcW w:w="1584" w:type="dxa"/>
            <w:vMerge w:val="restart"/>
            <w:vAlign w:val="center"/>
          </w:tcPr>
          <w:p>
            <w:pPr>
              <w:adjustRightInd w:val="0"/>
              <w:snapToGrid w:val="0"/>
              <w:jc w:val="center"/>
              <w:rPr>
                <w:rFonts w:eastAsia="仿宋"/>
                <w:color w:val="auto"/>
                <w:szCs w:val="21"/>
                <w:highlight w:val="none"/>
              </w:rPr>
            </w:pPr>
            <w:r>
              <w:rPr>
                <w:rFonts w:eastAsia="仿宋"/>
                <w:color w:val="auto"/>
                <w:spacing w:val="1"/>
                <w:szCs w:val="21"/>
                <w:highlight w:val="none"/>
              </w:rPr>
              <w:t>预留洞</w:t>
            </w:r>
          </w:p>
        </w:tc>
        <w:tc>
          <w:tcPr>
            <w:tcW w:w="1455" w:type="dxa"/>
            <w:gridSpan w:val="2"/>
            <w:vAlign w:val="center"/>
          </w:tcPr>
          <w:p>
            <w:pPr>
              <w:adjustRightInd w:val="0"/>
              <w:snapToGrid w:val="0"/>
              <w:jc w:val="center"/>
              <w:rPr>
                <w:rFonts w:eastAsia="仿宋"/>
                <w:color w:val="auto"/>
                <w:szCs w:val="21"/>
                <w:highlight w:val="none"/>
              </w:rPr>
            </w:pPr>
            <w:r>
              <w:rPr>
                <w:rFonts w:eastAsia="仿宋"/>
                <w:color w:val="auto"/>
                <w:szCs w:val="21"/>
                <w:highlight w:val="none"/>
              </w:rPr>
              <w:t>中心线位置</w:t>
            </w:r>
          </w:p>
        </w:tc>
        <w:tc>
          <w:tcPr>
            <w:tcW w:w="942" w:type="dxa"/>
            <w:vAlign w:val="center"/>
          </w:tcPr>
          <w:p>
            <w:pPr>
              <w:adjustRightInd w:val="0"/>
              <w:snapToGrid w:val="0"/>
              <w:jc w:val="center"/>
              <w:rPr>
                <w:rFonts w:eastAsia="仿宋"/>
                <w:color w:val="auto"/>
                <w:szCs w:val="21"/>
                <w:highlight w:val="none"/>
              </w:rPr>
            </w:pPr>
            <w:r>
              <w:rPr>
                <w:rFonts w:eastAsia="仿宋"/>
                <w:color w:val="auto"/>
                <w:spacing w:val="2"/>
                <w:position w:val="2"/>
                <w:szCs w:val="21"/>
                <w:highlight w:val="none"/>
              </w:rPr>
              <w:t>3</w:t>
            </w:r>
          </w:p>
        </w:tc>
        <w:tc>
          <w:tcPr>
            <w:tcW w:w="1525" w:type="dxa"/>
            <w:gridSpan w:val="3"/>
            <w:vAlign w:val="center"/>
          </w:tcPr>
          <w:p>
            <w:pPr>
              <w:pStyle w:val="79"/>
              <w:adjustRightInd w:val="0"/>
              <w:snapToGrid w:val="0"/>
              <w:jc w:val="center"/>
              <w:rPr>
                <w:rFonts w:eastAsia="仿宋"/>
                <w:color w:val="auto"/>
                <w:sz w:val="21"/>
                <w:szCs w:val="21"/>
                <w:highlight w:val="none"/>
              </w:rPr>
            </w:pPr>
          </w:p>
        </w:tc>
        <w:tc>
          <w:tcPr>
            <w:tcW w:w="976" w:type="dxa"/>
            <w:vAlign w:val="center"/>
          </w:tcPr>
          <w:p>
            <w:pPr>
              <w:pStyle w:val="79"/>
              <w:adjustRightInd w:val="0"/>
              <w:snapToGrid w:val="0"/>
              <w:jc w:val="center"/>
              <w:rPr>
                <w:rFonts w:eastAsia="仿宋"/>
                <w:color w:val="auto"/>
                <w:sz w:val="21"/>
                <w:szCs w:val="21"/>
                <w:highlight w:val="none"/>
              </w:rPr>
            </w:pPr>
          </w:p>
        </w:tc>
        <w:tc>
          <w:tcPr>
            <w:tcW w:w="1872" w:type="dxa"/>
            <w:vAlign w:val="center"/>
          </w:tcPr>
          <w:p>
            <w:pPr>
              <w:pStyle w:val="79"/>
              <w:adjustRightInd w:val="0"/>
              <w:snapToGrid w:val="0"/>
              <w:jc w:val="center"/>
              <w:rPr>
                <w:rFonts w:eastAsia="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Before w:val="1"/>
          <w:wBefore w:w="16" w:type="dxa"/>
          <w:trHeight w:val="447" w:hRule="atLeast"/>
          <w:jc w:val="center"/>
        </w:trPr>
        <w:tc>
          <w:tcPr>
            <w:tcW w:w="530" w:type="dxa"/>
            <w:vMerge w:val="continue"/>
            <w:vAlign w:val="center"/>
          </w:tcPr>
          <w:p>
            <w:pPr>
              <w:pStyle w:val="79"/>
              <w:adjustRightInd w:val="0"/>
              <w:snapToGrid w:val="0"/>
              <w:jc w:val="center"/>
              <w:rPr>
                <w:rFonts w:eastAsia="仿宋"/>
                <w:color w:val="auto"/>
                <w:sz w:val="21"/>
                <w:szCs w:val="21"/>
                <w:highlight w:val="none"/>
              </w:rPr>
            </w:pPr>
          </w:p>
        </w:tc>
        <w:tc>
          <w:tcPr>
            <w:tcW w:w="861" w:type="dxa"/>
            <w:vMerge w:val="continue"/>
            <w:vAlign w:val="center"/>
          </w:tcPr>
          <w:p>
            <w:pPr>
              <w:pStyle w:val="79"/>
              <w:adjustRightInd w:val="0"/>
              <w:snapToGrid w:val="0"/>
              <w:jc w:val="center"/>
              <w:rPr>
                <w:rFonts w:eastAsia="仿宋"/>
                <w:color w:val="auto"/>
                <w:sz w:val="21"/>
                <w:szCs w:val="21"/>
                <w:highlight w:val="none"/>
              </w:rPr>
            </w:pPr>
          </w:p>
        </w:tc>
        <w:tc>
          <w:tcPr>
            <w:tcW w:w="1584" w:type="dxa"/>
            <w:vMerge w:val="continue"/>
            <w:vAlign w:val="center"/>
          </w:tcPr>
          <w:p>
            <w:pPr>
              <w:pStyle w:val="79"/>
              <w:adjustRightInd w:val="0"/>
              <w:snapToGrid w:val="0"/>
              <w:jc w:val="center"/>
              <w:rPr>
                <w:rFonts w:eastAsia="仿宋"/>
                <w:color w:val="auto"/>
                <w:sz w:val="21"/>
                <w:szCs w:val="21"/>
                <w:highlight w:val="none"/>
              </w:rPr>
            </w:pPr>
          </w:p>
        </w:tc>
        <w:tc>
          <w:tcPr>
            <w:tcW w:w="1455" w:type="dxa"/>
            <w:gridSpan w:val="2"/>
            <w:vAlign w:val="center"/>
          </w:tcPr>
          <w:p>
            <w:pPr>
              <w:adjustRightInd w:val="0"/>
              <w:snapToGrid w:val="0"/>
              <w:jc w:val="center"/>
              <w:rPr>
                <w:rFonts w:eastAsia="仿宋"/>
                <w:color w:val="auto"/>
                <w:szCs w:val="21"/>
                <w:highlight w:val="none"/>
              </w:rPr>
            </w:pPr>
            <w:r>
              <w:rPr>
                <w:rFonts w:eastAsia="仿宋"/>
                <w:color w:val="auto"/>
                <w:spacing w:val="1"/>
                <w:szCs w:val="21"/>
                <w:highlight w:val="none"/>
              </w:rPr>
              <w:t>尺寸</w:t>
            </w:r>
          </w:p>
        </w:tc>
        <w:tc>
          <w:tcPr>
            <w:tcW w:w="942" w:type="dxa"/>
            <w:vAlign w:val="center"/>
          </w:tcPr>
          <w:p>
            <w:pPr>
              <w:adjustRightInd w:val="0"/>
              <w:snapToGrid w:val="0"/>
              <w:jc w:val="center"/>
              <w:rPr>
                <w:rFonts w:eastAsia="仿宋"/>
                <w:color w:val="auto"/>
                <w:szCs w:val="21"/>
                <w:highlight w:val="none"/>
              </w:rPr>
            </w:pPr>
            <w:r>
              <w:rPr>
                <w:rFonts w:eastAsia="仿宋"/>
                <w:color w:val="auto"/>
                <w:position w:val="2"/>
                <w:szCs w:val="21"/>
                <w:highlight w:val="none"/>
              </w:rPr>
              <w:t>+3</w:t>
            </w:r>
            <w:r>
              <w:rPr>
                <w:rFonts w:eastAsia="仿宋"/>
                <w:color w:val="auto"/>
                <w:spacing w:val="-2"/>
                <w:szCs w:val="21"/>
                <w:highlight w:val="none"/>
              </w:rPr>
              <w:t>，</w:t>
            </w:r>
            <w:r>
              <w:rPr>
                <w:rFonts w:eastAsia="仿宋"/>
                <w:color w:val="auto"/>
                <w:position w:val="2"/>
                <w:szCs w:val="21"/>
                <w:highlight w:val="none"/>
              </w:rPr>
              <w:t>0</w:t>
            </w:r>
          </w:p>
        </w:tc>
        <w:tc>
          <w:tcPr>
            <w:tcW w:w="1525" w:type="dxa"/>
            <w:gridSpan w:val="3"/>
            <w:vAlign w:val="center"/>
          </w:tcPr>
          <w:p>
            <w:pPr>
              <w:pStyle w:val="79"/>
              <w:adjustRightInd w:val="0"/>
              <w:snapToGrid w:val="0"/>
              <w:jc w:val="center"/>
              <w:rPr>
                <w:rFonts w:eastAsia="仿宋"/>
                <w:color w:val="auto"/>
                <w:sz w:val="21"/>
                <w:szCs w:val="21"/>
                <w:highlight w:val="none"/>
              </w:rPr>
            </w:pPr>
          </w:p>
        </w:tc>
        <w:tc>
          <w:tcPr>
            <w:tcW w:w="976" w:type="dxa"/>
            <w:vAlign w:val="center"/>
          </w:tcPr>
          <w:p>
            <w:pPr>
              <w:pStyle w:val="79"/>
              <w:adjustRightInd w:val="0"/>
              <w:snapToGrid w:val="0"/>
              <w:jc w:val="center"/>
              <w:rPr>
                <w:rFonts w:eastAsia="仿宋"/>
                <w:color w:val="auto"/>
                <w:sz w:val="21"/>
                <w:szCs w:val="21"/>
                <w:highlight w:val="none"/>
              </w:rPr>
            </w:pPr>
          </w:p>
        </w:tc>
        <w:tc>
          <w:tcPr>
            <w:tcW w:w="1872" w:type="dxa"/>
            <w:vAlign w:val="center"/>
          </w:tcPr>
          <w:p>
            <w:pPr>
              <w:pStyle w:val="79"/>
              <w:adjustRightInd w:val="0"/>
              <w:snapToGrid w:val="0"/>
              <w:jc w:val="center"/>
              <w:rPr>
                <w:rFonts w:eastAsia="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Before w:val="1"/>
          <w:wBefore w:w="16" w:type="dxa"/>
          <w:trHeight w:val="447" w:hRule="atLeast"/>
          <w:jc w:val="center"/>
        </w:trPr>
        <w:tc>
          <w:tcPr>
            <w:tcW w:w="530" w:type="dxa"/>
            <w:vMerge w:val="continue"/>
            <w:vAlign w:val="center"/>
          </w:tcPr>
          <w:p>
            <w:pPr>
              <w:pStyle w:val="79"/>
              <w:adjustRightInd w:val="0"/>
              <w:snapToGrid w:val="0"/>
              <w:jc w:val="center"/>
              <w:rPr>
                <w:rFonts w:eastAsia="仿宋"/>
                <w:color w:val="auto"/>
                <w:sz w:val="21"/>
                <w:szCs w:val="21"/>
                <w:highlight w:val="none"/>
              </w:rPr>
            </w:pPr>
          </w:p>
        </w:tc>
        <w:tc>
          <w:tcPr>
            <w:tcW w:w="861" w:type="dxa"/>
            <w:vMerge w:val="continue"/>
            <w:vAlign w:val="center"/>
          </w:tcPr>
          <w:p>
            <w:pPr>
              <w:pStyle w:val="79"/>
              <w:adjustRightInd w:val="0"/>
              <w:snapToGrid w:val="0"/>
              <w:jc w:val="center"/>
              <w:rPr>
                <w:rFonts w:eastAsia="仿宋"/>
                <w:color w:val="auto"/>
                <w:sz w:val="21"/>
                <w:szCs w:val="21"/>
                <w:highlight w:val="none"/>
              </w:rPr>
            </w:pPr>
          </w:p>
        </w:tc>
        <w:tc>
          <w:tcPr>
            <w:tcW w:w="1584" w:type="dxa"/>
            <w:vMerge w:val="restart"/>
            <w:vAlign w:val="center"/>
          </w:tcPr>
          <w:p>
            <w:pPr>
              <w:adjustRightInd w:val="0"/>
              <w:snapToGrid w:val="0"/>
              <w:jc w:val="center"/>
              <w:rPr>
                <w:rFonts w:eastAsia="仿宋"/>
                <w:color w:val="auto"/>
                <w:spacing w:val="2"/>
                <w:szCs w:val="21"/>
                <w:highlight w:val="none"/>
              </w:rPr>
            </w:pPr>
            <w:r>
              <w:rPr>
                <w:rFonts w:eastAsia="仿宋"/>
                <w:color w:val="auto"/>
                <w:spacing w:val="2"/>
                <w:szCs w:val="21"/>
                <w:highlight w:val="none"/>
              </w:rPr>
              <w:t>预埋连接件</w:t>
            </w:r>
          </w:p>
          <w:p>
            <w:pPr>
              <w:adjustRightInd w:val="0"/>
              <w:snapToGrid w:val="0"/>
              <w:jc w:val="center"/>
              <w:rPr>
                <w:rFonts w:eastAsia="仿宋"/>
                <w:color w:val="auto"/>
                <w:szCs w:val="21"/>
                <w:highlight w:val="none"/>
              </w:rPr>
            </w:pPr>
            <w:r>
              <w:rPr>
                <w:rFonts w:eastAsia="仿宋"/>
                <w:color w:val="auto"/>
                <w:spacing w:val="2"/>
                <w:szCs w:val="21"/>
                <w:highlight w:val="none"/>
              </w:rPr>
              <w:t>及连接钢筋</w:t>
            </w:r>
          </w:p>
        </w:tc>
        <w:tc>
          <w:tcPr>
            <w:tcW w:w="1455" w:type="dxa"/>
            <w:gridSpan w:val="2"/>
            <w:vAlign w:val="center"/>
          </w:tcPr>
          <w:p>
            <w:pPr>
              <w:adjustRightInd w:val="0"/>
              <w:snapToGrid w:val="0"/>
              <w:jc w:val="center"/>
              <w:rPr>
                <w:rFonts w:eastAsia="仿宋"/>
                <w:color w:val="auto"/>
                <w:spacing w:val="3"/>
                <w:szCs w:val="21"/>
                <w:highlight w:val="none"/>
              </w:rPr>
            </w:pPr>
            <w:r>
              <w:rPr>
                <w:rFonts w:eastAsia="仿宋"/>
                <w:color w:val="auto"/>
                <w:spacing w:val="3"/>
                <w:szCs w:val="21"/>
                <w:highlight w:val="none"/>
              </w:rPr>
              <w:t>预埋连接件</w:t>
            </w:r>
          </w:p>
          <w:p>
            <w:pPr>
              <w:adjustRightInd w:val="0"/>
              <w:snapToGrid w:val="0"/>
              <w:jc w:val="center"/>
              <w:rPr>
                <w:rFonts w:eastAsia="仿宋"/>
                <w:color w:val="auto"/>
                <w:szCs w:val="21"/>
                <w:highlight w:val="none"/>
              </w:rPr>
            </w:pPr>
            <w:r>
              <w:rPr>
                <w:rFonts w:eastAsia="仿宋"/>
                <w:color w:val="auto"/>
                <w:spacing w:val="3"/>
                <w:szCs w:val="21"/>
                <w:highlight w:val="none"/>
              </w:rPr>
              <w:t>中心</w:t>
            </w:r>
            <w:r>
              <w:rPr>
                <w:rFonts w:eastAsia="仿宋"/>
                <w:color w:val="auto"/>
                <w:spacing w:val="1"/>
                <w:szCs w:val="21"/>
                <w:highlight w:val="none"/>
              </w:rPr>
              <w:t>线位置</w:t>
            </w:r>
          </w:p>
        </w:tc>
        <w:tc>
          <w:tcPr>
            <w:tcW w:w="942" w:type="dxa"/>
            <w:vAlign w:val="center"/>
          </w:tcPr>
          <w:p>
            <w:pPr>
              <w:adjustRightInd w:val="0"/>
              <w:snapToGrid w:val="0"/>
              <w:jc w:val="center"/>
              <w:rPr>
                <w:rFonts w:eastAsia="仿宋"/>
                <w:color w:val="auto"/>
                <w:szCs w:val="21"/>
                <w:highlight w:val="none"/>
              </w:rPr>
            </w:pPr>
            <w:r>
              <w:rPr>
                <w:rFonts w:eastAsia="仿宋"/>
                <w:color w:val="auto"/>
                <w:spacing w:val="4"/>
                <w:szCs w:val="21"/>
                <w:highlight w:val="none"/>
              </w:rPr>
              <w:t>1</w:t>
            </w:r>
          </w:p>
        </w:tc>
        <w:tc>
          <w:tcPr>
            <w:tcW w:w="1525" w:type="dxa"/>
            <w:gridSpan w:val="3"/>
            <w:vAlign w:val="center"/>
          </w:tcPr>
          <w:p>
            <w:pPr>
              <w:pStyle w:val="79"/>
              <w:adjustRightInd w:val="0"/>
              <w:snapToGrid w:val="0"/>
              <w:jc w:val="center"/>
              <w:rPr>
                <w:rFonts w:eastAsia="仿宋"/>
                <w:color w:val="auto"/>
                <w:sz w:val="21"/>
                <w:szCs w:val="21"/>
                <w:highlight w:val="none"/>
              </w:rPr>
            </w:pPr>
          </w:p>
        </w:tc>
        <w:tc>
          <w:tcPr>
            <w:tcW w:w="976" w:type="dxa"/>
            <w:vAlign w:val="center"/>
          </w:tcPr>
          <w:p>
            <w:pPr>
              <w:pStyle w:val="79"/>
              <w:adjustRightInd w:val="0"/>
              <w:snapToGrid w:val="0"/>
              <w:jc w:val="center"/>
              <w:rPr>
                <w:rFonts w:eastAsia="仿宋"/>
                <w:color w:val="auto"/>
                <w:sz w:val="21"/>
                <w:szCs w:val="21"/>
                <w:highlight w:val="none"/>
              </w:rPr>
            </w:pPr>
          </w:p>
        </w:tc>
        <w:tc>
          <w:tcPr>
            <w:tcW w:w="1872" w:type="dxa"/>
            <w:vAlign w:val="center"/>
          </w:tcPr>
          <w:p>
            <w:pPr>
              <w:pStyle w:val="79"/>
              <w:adjustRightInd w:val="0"/>
              <w:snapToGrid w:val="0"/>
              <w:jc w:val="center"/>
              <w:rPr>
                <w:rFonts w:eastAsia="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Before w:val="1"/>
          <w:wBefore w:w="16" w:type="dxa"/>
          <w:trHeight w:val="447" w:hRule="atLeast"/>
          <w:jc w:val="center"/>
        </w:trPr>
        <w:tc>
          <w:tcPr>
            <w:tcW w:w="530" w:type="dxa"/>
            <w:vMerge w:val="continue"/>
            <w:vAlign w:val="center"/>
          </w:tcPr>
          <w:p>
            <w:pPr>
              <w:pStyle w:val="79"/>
              <w:adjustRightInd w:val="0"/>
              <w:snapToGrid w:val="0"/>
              <w:jc w:val="center"/>
              <w:rPr>
                <w:rFonts w:eastAsia="仿宋"/>
                <w:color w:val="auto"/>
                <w:sz w:val="21"/>
                <w:szCs w:val="21"/>
                <w:highlight w:val="none"/>
              </w:rPr>
            </w:pPr>
          </w:p>
        </w:tc>
        <w:tc>
          <w:tcPr>
            <w:tcW w:w="861" w:type="dxa"/>
            <w:vMerge w:val="continue"/>
            <w:vAlign w:val="center"/>
          </w:tcPr>
          <w:p>
            <w:pPr>
              <w:pStyle w:val="79"/>
              <w:adjustRightInd w:val="0"/>
              <w:snapToGrid w:val="0"/>
              <w:jc w:val="center"/>
              <w:rPr>
                <w:rFonts w:eastAsia="仿宋"/>
                <w:color w:val="auto"/>
                <w:sz w:val="21"/>
                <w:szCs w:val="21"/>
                <w:highlight w:val="none"/>
              </w:rPr>
            </w:pPr>
          </w:p>
        </w:tc>
        <w:tc>
          <w:tcPr>
            <w:tcW w:w="1584" w:type="dxa"/>
            <w:vMerge w:val="continue"/>
            <w:vAlign w:val="center"/>
          </w:tcPr>
          <w:p>
            <w:pPr>
              <w:pStyle w:val="79"/>
              <w:adjustRightInd w:val="0"/>
              <w:snapToGrid w:val="0"/>
              <w:jc w:val="center"/>
              <w:rPr>
                <w:rFonts w:eastAsia="仿宋"/>
                <w:color w:val="auto"/>
                <w:sz w:val="21"/>
                <w:szCs w:val="21"/>
                <w:highlight w:val="none"/>
              </w:rPr>
            </w:pPr>
          </w:p>
        </w:tc>
        <w:tc>
          <w:tcPr>
            <w:tcW w:w="1455" w:type="dxa"/>
            <w:gridSpan w:val="2"/>
            <w:vAlign w:val="center"/>
          </w:tcPr>
          <w:p>
            <w:pPr>
              <w:adjustRightInd w:val="0"/>
              <w:snapToGrid w:val="0"/>
              <w:jc w:val="center"/>
              <w:rPr>
                <w:rFonts w:eastAsia="仿宋"/>
                <w:color w:val="auto"/>
                <w:spacing w:val="3"/>
                <w:szCs w:val="21"/>
                <w:highlight w:val="none"/>
              </w:rPr>
            </w:pPr>
            <w:r>
              <w:rPr>
                <w:rFonts w:eastAsia="仿宋"/>
                <w:color w:val="auto"/>
                <w:spacing w:val="3"/>
                <w:szCs w:val="21"/>
                <w:highlight w:val="none"/>
              </w:rPr>
              <w:t>连接钢筋</w:t>
            </w:r>
          </w:p>
          <w:p>
            <w:pPr>
              <w:adjustRightInd w:val="0"/>
              <w:snapToGrid w:val="0"/>
              <w:jc w:val="center"/>
              <w:rPr>
                <w:rFonts w:eastAsia="仿宋"/>
                <w:color w:val="auto"/>
                <w:szCs w:val="21"/>
                <w:highlight w:val="none"/>
              </w:rPr>
            </w:pPr>
            <w:r>
              <w:rPr>
                <w:rFonts w:eastAsia="仿宋"/>
                <w:color w:val="auto"/>
                <w:spacing w:val="3"/>
                <w:szCs w:val="21"/>
                <w:highlight w:val="none"/>
              </w:rPr>
              <w:t>中心线</w:t>
            </w:r>
            <w:r>
              <w:rPr>
                <w:rFonts w:eastAsia="仿宋"/>
                <w:color w:val="auto"/>
                <w:spacing w:val="1"/>
                <w:szCs w:val="21"/>
                <w:highlight w:val="none"/>
              </w:rPr>
              <w:t>位置</w:t>
            </w:r>
          </w:p>
        </w:tc>
        <w:tc>
          <w:tcPr>
            <w:tcW w:w="942" w:type="dxa"/>
            <w:vAlign w:val="center"/>
          </w:tcPr>
          <w:p>
            <w:pPr>
              <w:adjustRightInd w:val="0"/>
              <w:snapToGrid w:val="0"/>
              <w:jc w:val="center"/>
              <w:rPr>
                <w:rFonts w:eastAsia="仿宋"/>
                <w:color w:val="auto"/>
                <w:szCs w:val="21"/>
                <w:highlight w:val="none"/>
              </w:rPr>
            </w:pPr>
            <w:r>
              <w:rPr>
                <w:rFonts w:eastAsia="仿宋"/>
                <w:color w:val="auto"/>
                <w:spacing w:val="4"/>
                <w:szCs w:val="21"/>
                <w:highlight w:val="none"/>
              </w:rPr>
              <w:t>1</w:t>
            </w:r>
          </w:p>
        </w:tc>
        <w:tc>
          <w:tcPr>
            <w:tcW w:w="1525" w:type="dxa"/>
            <w:gridSpan w:val="3"/>
            <w:vAlign w:val="center"/>
          </w:tcPr>
          <w:p>
            <w:pPr>
              <w:pStyle w:val="79"/>
              <w:adjustRightInd w:val="0"/>
              <w:snapToGrid w:val="0"/>
              <w:jc w:val="center"/>
              <w:rPr>
                <w:rFonts w:eastAsia="仿宋"/>
                <w:color w:val="auto"/>
                <w:sz w:val="21"/>
                <w:szCs w:val="21"/>
                <w:highlight w:val="none"/>
              </w:rPr>
            </w:pPr>
          </w:p>
        </w:tc>
        <w:tc>
          <w:tcPr>
            <w:tcW w:w="976" w:type="dxa"/>
            <w:vAlign w:val="center"/>
          </w:tcPr>
          <w:p>
            <w:pPr>
              <w:pStyle w:val="79"/>
              <w:adjustRightInd w:val="0"/>
              <w:snapToGrid w:val="0"/>
              <w:jc w:val="center"/>
              <w:rPr>
                <w:rFonts w:eastAsia="仿宋"/>
                <w:color w:val="auto"/>
                <w:sz w:val="21"/>
                <w:szCs w:val="21"/>
                <w:highlight w:val="none"/>
              </w:rPr>
            </w:pPr>
          </w:p>
        </w:tc>
        <w:tc>
          <w:tcPr>
            <w:tcW w:w="1872" w:type="dxa"/>
            <w:vAlign w:val="center"/>
          </w:tcPr>
          <w:p>
            <w:pPr>
              <w:pStyle w:val="79"/>
              <w:adjustRightInd w:val="0"/>
              <w:snapToGrid w:val="0"/>
              <w:jc w:val="center"/>
              <w:rPr>
                <w:rFonts w:eastAsia="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Before w:val="1"/>
          <w:wBefore w:w="16" w:type="dxa"/>
          <w:trHeight w:val="447" w:hRule="atLeast"/>
          <w:jc w:val="center"/>
        </w:trPr>
        <w:tc>
          <w:tcPr>
            <w:tcW w:w="530" w:type="dxa"/>
            <w:vMerge w:val="continue"/>
            <w:vAlign w:val="center"/>
          </w:tcPr>
          <w:p>
            <w:pPr>
              <w:pStyle w:val="79"/>
              <w:adjustRightInd w:val="0"/>
              <w:snapToGrid w:val="0"/>
              <w:jc w:val="center"/>
              <w:rPr>
                <w:rFonts w:eastAsia="仿宋"/>
                <w:color w:val="auto"/>
                <w:sz w:val="21"/>
                <w:szCs w:val="21"/>
                <w:highlight w:val="none"/>
              </w:rPr>
            </w:pPr>
          </w:p>
        </w:tc>
        <w:tc>
          <w:tcPr>
            <w:tcW w:w="861" w:type="dxa"/>
            <w:vMerge w:val="continue"/>
            <w:vAlign w:val="center"/>
          </w:tcPr>
          <w:p>
            <w:pPr>
              <w:pStyle w:val="79"/>
              <w:adjustRightInd w:val="0"/>
              <w:snapToGrid w:val="0"/>
              <w:jc w:val="center"/>
              <w:rPr>
                <w:rFonts w:eastAsia="仿宋"/>
                <w:color w:val="auto"/>
                <w:sz w:val="21"/>
                <w:szCs w:val="21"/>
                <w:highlight w:val="none"/>
              </w:rPr>
            </w:pPr>
          </w:p>
        </w:tc>
        <w:tc>
          <w:tcPr>
            <w:tcW w:w="1584" w:type="dxa"/>
            <w:vMerge w:val="continue"/>
            <w:vAlign w:val="center"/>
          </w:tcPr>
          <w:p>
            <w:pPr>
              <w:pStyle w:val="79"/>
              <w:adjustRightInd w:val="0"/>
              <w:snapToGrid w:val="0"/>
              <w:jc w:val="center"/>
              <w:rPr>
                <w:rFonts w:eastAsia="仿宋"/>
                <w:color w:val="auto"/>
                <w:sz w:val="21"/>
                <w:szCs w:val="21"/>
                <w:highlight w:val="none"/>
              </w:rPr>
            </w:pPr>
          </w:p>
        </w:tc>
        <w:tc>
          <w:tcPr>
            <w:tcW w:w="1455" w:type="dxa"/>
            <w:gridSpan w:val="2"/>
            <w:vAlign w:val="center"/>
          </w:tcPr>
          <w:p>
            <w:pPr>
              <w:adjustRightInd w:val="0"/>
              <w:snapToGrid w:val="0"/>
              <w:jc w:val="center"/>
              <w:rPr>
                <w:rFonts w:eastAsia="仿宋"/>
                <w:color w:val="auto"/>
                <w:szCs w:val="21"/>
                <w:highlight w:val="none"/>
              </w:rPr>
            </w:pPr>
            <w:r>
              <w:rPr>
                <w:rFonts w:eastAsia="仿宋"/>
                <w:color w:val="auto"/>
                <w:spacing w:val="3"/>
                <w:szCs w:val="21"/>
                <w:highlight w:val="none"/>
              </w:rPr>
              <w:t>连接钢筋外露长</w:t>
            </w:r>
            <w:r>
              <w:rPr>
                <w:rFonts w:eastAsia="仿宋"/>
                <w:color w:val="auto"/>
                <w:szCs w:val="21"/>
                <w:highlight w:val="none"/>
              </w:rPr>
              <w:t>度</w:t>
            </w:r>
          </w:p>
        </w:tc>
        <w:tc>
          <w:tcPr>
            <w:tcW w:w="942" w:type="dxa"/>
            <w:vAlign w:val="center"/>
          </w:tcPr>
          <w:p>
            <w:pPr>
              <w:adjustRightInd w:val="0"/>
              <w:snapToGrid w:val="0"/>
              <w:jc w:val="center"/>
              <w:rPr>
                <w:rFonts w:eastAsia="仿宋"/>
                <w:color w:val="auto"/>
                <w:szCs w:val="21"/>
                <w:highlight w:val="none"/>
              </w:rPr>
            </w:pPr>
            <w:r>
              <w:rPr>
                <w:rFonts w:eastAsia="仿宋"/>
                <w:color w:val="auto"/>
                <w:position w:val="2"/>
                <w:szCs w:val="21"/>
                <w:highlight w:val="none"/>
              </w:rPr>
              <w:t>+5</w:t>
            </w:r>
            <w:r>
              <w:rPr>
                <w:rFonts w:eastAsia="仿宋"/>
                <w:color w:val="auto"/>
                <w:spacing w:val="-2"/>
                <w:szCs w:val="21"/>
                <w:highlight w:val="none"/>
              </w:rPr>
              <w:t>，</w:t>
            </w:r>
            <w:r>
              <w:rPr>
                <w:rFonts w:eastAsia="仿宋"/>
                <w:color w:val="auto"/>
                <w:position w:val="2"/>
                <w:szCs w:val="21"/>
                <w:highlight w:val="none"/>
              </w:rPr>
              <w:t>0</w:t>
            </w:r>
          </w:p>
        </w:tc>
        <w:tc>
          <w:tcPr>
            <w:tcW w:w="1525" w:type="dxa"/>
            <w:gridSpan w:val="3"/>
            <w:vAlign w:val="center"/>
          </w:tcPr>
          <w:p>
            <w:pPr>
              <w:pStyle w:val="79"/>
              <w:adjustRightInd w:val="0"/>
              <w:snapToGrid w:val="0"/>
              <w:jc w:val="center"/>
              <w:rPr>
                <w:rFonts w:eastAsia="仿宋"/>
                <w:color w:val="auto"/>
                <w:sz w:val="21"/>
                <w:szCs w:val="21"/>
                <w:highlight w:val="none"/>
              </w:rPr>
            </w:pPr>
          </w:p>
        </w:tc>
        <w:tc>
          <w:tcPr>
            <w:tcW w:w="976" w:type="dxa"/>
            <w:vAlign w:val="center"/>
          </w:tcPr>
          <w:p>
            <w:pPr>
              <w:pStyle w:val="79"/>
              <w:adjustRightInd w:val="0"/>
              <w:snapToGrid w:val="0"/>
              <w:jc w:val="center"/>
              <w:rPr>
                <w:rFonts w:eastAsia="仿宋"/>
                <w:color w:val="auto"/>
                <w:sz w:val="21"/>
                <w:szCs w:val="21"/>
                <w:highlight w:val="none"/>
              </w:rPr>
            </w:pPr>
          </w:p>
        </w:tc>
        <w:tc>
          <w:tcPr>
            <w:tcW w:w="1872" w:type="dxa"/>
            <w:vAlign w:val="center"/>
          </w:tcPr>
          <w:p>
            <w:pPr>
              <w:pStyle w:val="79"/>
              <w:adjustRightInd w:val="0"/>
              <w:snapToGrid w:val="0"/>
              <w:jc w:val="center"/>
              <w:rPr>
                <w:rFonts w:eastAsia="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546" w:type="dxa"/>
            <w:gridSpan w:val="2"/>
            <w:vAlign w:val="center"/>
          </w:tcPr>
          <w:p>
            <w:pPr>
              <w:pStyle w:val="79"/>
              <w:adjustRightInd w:val="0"/>
              <w:snapToGrid w:val="0"/>
              <w:jc w:val="center"/>
              <w:rPr>
                <w:rFonts w:eastAsia="仿宋"/>
                <w:color w:val="auto"/>
                <w:sz w:val="21"/>
                <w:szCs w:val="21"/>
                <w:highlight w:val="none"/>
              </w:rPr>
            </w:pPr>
            <w:r>
              <w:rPr>
                <w:rFonts w:eastAsia="仿宋"/>
                <w:color w:val="auto"/>
                <w:sz w:val="21"/>
                <w:szCs w:val="21"/>
                <w:highlight w:val="none"/>
              </w:rPr>
              <w:t>3</w:t>
            </w:r>
          </w:p>
        </w:tc>
        <w:tc>
          <w:tcPr>
            <w:tcW w:w="9215" w:type="dxa"/>
            <w:gridSpan w:val="10"/>
            <w:vAlign w:val="center"/>
          </w:tcPr>
          <w:p>
            <w:pPr>
              <w:pStyle w:val="79"/>
              <w:adjustRightInd w:val="0"/>
              <w:snapToGrid w:val="0"/>
              <w:jc w:val="center"/>
              <w:rPr>
                <w:rFonts w:eastAsia="仿宋"/>
                <w:color w:val="auto"/>
                <w:sz w:val="21"/>
                <w:szCs w:val="21"/>
                <w:highlight w:val="none"/>
                <w:lang w:eastAsia="zh-CN"/>
              </w:rPr>
            </w:pPr>
            <w:r>
              <w:rPr>
                <w:rFonts w:eastAsia="仿宋"/>
                <w:color w:val="auto"/>
                <w:spacing w:val="2"/>
                <w:sz w:val="21"/>
                <w:szCs w:val="21"/>
                <w:highlight w:val="none"/>
                <w:lang w:eastAsia="zh-CN"/>
              </w:rPr>
              <w:t>门窗框安装（最大偏差值）</w:t>
            </w:r>
            <w:r>
              <w:rPr>
                <w:rFonts w:hint="eastAsia" w:eastAsia="仿宋"/>
                <w:color w:val="auto"/>
                <w:spacing w:val="2"/>
                <w:sz w:val="21"/>
                <w:szCs w:val="21"/>
                <w:highlight w:val="none"/>
                <w:lang w:eastAsia="zh-CN"/>
              </w:rPr>
              <w:t>（mm）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Before w:val="1"/>
          <w:wBefore w:w="16" w:type="dxa"/>
          <w:trHeight w:val="447" w:hRule="atLeast"/>
          <w:jc w:val="center"/>
        </w:trPr>
        <w:tc>
          <w:tcPr>
            <w:tcW w:w="530" w:type="dxa"/>
            <w:vMerge w:val="restart"/>
            <w:vAlign w:val="center"/>
          </w:tcPr>
          <w:p>
            <w:pPr>
              <w:pStyle w:val="79"/>
              <w:adjustRightInd w:val="0"/>
              <w:snapToGrid w:val="0"/>
              <w:jc w:val="center"/>
              <w:rPr>
                <w:rFonts w:eastAsia="仿宋"/>
                <w:color w:val="auto"/>
                <w:sz w:val="21"/>
                <w:szCs w:val="21"/>
                <w:highlight w:val="none"/>
                <w:lang w:eastAsia="zh-CN"/>
              </w:rPr>
            </w:pPr>
          </w:p>
        </w:tc>
        <w:tc>
          <w:tcPr>
            <w:tcW w:w="861" w:type="dxa"/>
            <w:vMerge w:val="restart"/>
            <w:vAlign w:val="center"/>
          </w:tcPr>
          <w:p>
            <w:pPr>
              <w:pStyle w:val="79"/>
              <w:adjustRightInd w:val="0"/>
              <w:snapToGrid w:val="0"/>
              <w:jc w:val="center"/>
              <w:rPr>
                <w:rFonts w:eastAsia="仿宋"/>
                <w:color w:val="auto"/>
                <w:sz w:val="21"/>
                <w:szCs w:val="21"/>
                <w:highlight w:val="none"/>
              </w:rPr>
            </w:pPr>
            <w:r>
              <w:rPr>
                <w:rFonts w:eastAsia="仿宋"/>
                <w:color w:val="auto"/>
                <w:spacing w:val="2"/>
                <w:sz w:val="21"/>
                <w:szCs w:val="21"/>
                <w:highlight w:val="none"/>
              </w:rPr>
              <w:t>一般项目</w:t>
            </w:r>
          </w:p>
        </w:tc>
        <w:tc>
          <w:tcPr>
            <w:tcW w:w="1584" w:type="dxa"/>
            <w:vMerge w:val="restart"/>
            <w:vAlign w:val="center"/>
          </w:tcPr>
          <w:p>
            <w:pPr>
              <w:pStyle w:val="79"/>
              <w:adjustRightInd w:val="0"/>
              <w:snapToGrid w:val="0"/>
              <w:jc w:val="center"/>
              <w:rPr>
                <w:rFonts w:eastAsia="仿宋"/>
                <w:color w:val="auto"/>
                <w:sz w:val="21"/>
                <w:szCs w:val="21"/>
                <w:highlight w:val="none"/>
              </w:rPr>
            </w:pPr>
            <w:r>
              <w:rPr>
                <w:rFonts w:eastAsia="仿宋"/>
                <w:color w:val="auto"/>
                <w:spacing w:val="2"/>
                <w:sz w:val="21"/>
                <w:szCs w:val="21"/>
                <w:highlight w:val="none"/>
              </w:rPr>
              <w:t>锚固脚片</w:t>
            </w:r>
          </w:p>
        </w:tc>
        <w:tc>
          <w:tcPr>
            <w:tcW w:w="1455" w:type="dxa"/>
            <w:gridSpan w:val="2"/>
            <w:vAlign w:val="center"/>
          </w:tcPr>
          <w:p>
            <w:pPr>
              <w:adjustRightInd w:val="0"/>
              <w:snapToGrid w:val="0"/>
              <w:jc w:val="center"/>
              <w:rPr>
                <w:rFonts w:eastAsia="仿宋"/>
                <w:color w:val="auto"/>
                <w:szCs w:val="21"/>
                <w:highlight w:val="none"/>
              </w:rPr>
            </w:pPr>
            <w:r>
              <w:rPr>
                <w:rFonts w:eastAsia="仿宋"/>
                <w:color w:val="auto"/>
                <w:szCs w:val="21"/>
                <w:highlight w:val="none"/>
              </w:rPr>
              <w:t>中心线位置</w:t>
            </w:r>
          </w:p>
        </w:tc>
        <w:tc>
          <w:tcPr>
            <w:tcW w:w="942" w:type="dxa"/>
            <w:vAlign w:val="center"/>
          </w:tcPr>
          <w:p>
            <w:pPr>
              <w:adjustRightInd w:val="0"/>
              <w:snapToGrid w:val="0"/>
              <w:jc w:val="center"/>
              <w:rPr>
                <w:rFonts w:eastAsia="仿宋"/>
                <w:color w:val="auto"/>
                <w:szCs w:val="21"/>
                <w:highlight w:val="none"/>
              </w:rPr>
            </w:pPr>
            <w:r>
              <w:rPr>
                <w:rFonts w:eastAsia="仿宋"/>
                <w:color w:val="auto"/>
                <w:position w:val="2"/>
                <w:szCs w:val="21"/>
                <w:highlight w:val="none"/>
              </w:rPr>
              <w:t>5</w:t>
            </w:r>
          </w:p>
        </w:tc>
        <w:tc>
          <w:tcPr>
            <w:tcW w:w="1525" w:type="dxa"/>
            <w:gridSpan w:val="3"/>
            <w:vAlign w:val="center"/>
          </w:tcPr>
          <w:p>
            <w:pPr>
              <w:pStyle w:val="79"/>
              <w:adjustRightInd w:val="0"/>
              <w:snapToGrid w:val="0"/>
              <w:jc w:val="center"/>
              <w:rPr>
                <w:rFonts w:eastAsia="仿宋"/>
                <w:color w:val="auto"/>
                <w:sz w:val="21"/>
                <w:szCs w:val="21"/>
                <w:highlight w:val="none"/>
              </w:rPr>
            </w:pPr>
          </w:p>
        </w:tc>
        <w:tc>
          <w:tcPr>
            <w:tcW w:w="976" w:type="dxa"/>
            <w:vAlign w:val="center"/>
          </w:tcPr>
          <w:p>
            <w:pPr>
              <w:pStyle w:val="79"/>
              <w:adjustRightInd w:val="0"/>
              <w:snapToGrid w:val="0"/>
              <w:jc w:val="center"/>
              <w:rPr>
                <w:rFonts w:eastAsia="仿宋"/>
                <w:color w:val="auto"/>
                <w:sz w:val="21"/>
                <w:szCs w:val="21"/>
                <w:highlight w:val="none"/>
              </w:rPr>
            </w:pPr>
          </w:p>
        </w:tc>
        <w:tc>
          <w:tcPr>
            <w:tcW w:w="1872" w:type="dxa"/>
            <w:vAlign w:val="center"/>
          </w:tcPr>
          <w:p>
            <w:pPr>
              <w:pStyle w:val="79"/>
              <w:adjustRightInd w:val="0"/>
              <w:snapToGrid w:val="0"/>
              <w:jc w:val="center"/>
              <w:rPr>
                <w:rFonts w:eastAsia="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Before w:val="1"/>
          <w:wBefore w:w="16" w:type="dxa"/>
          <w:trHeight w:val="447" w:hRule="atLeast"/>
          <w:jc w:val="center"/>
        </w:trPr>
        <w:tc>
          <w:tcPr>
            <w:tcW w:w="530" w:type="dxa"/>
            <w:vMerge w:val="continue"/>
            <w:vAlign w:val="center"/>
          </w:tcPr>
          <w:p>
            <w:pPr>
              <w:pStyle w:val="79"/>
              <w:adjustRightInd w:val="0"/>
              <w:snapToGrid w:val="0"/>
              <w:jc w:val="center"/>
              <w:rPr>
                <w:rFonts w:eastAsia="仿宋"/>
                <w:color w:val="auto"/>
                <w:sz w:val="21"/>
                <w:szCs w:val="21"/>
                <w:highlight w:val="none"/>
              </w:rPr>
            </w:pPr>
          </w:p>
        </w:tc>
        <w:tc>
          <w:tcPr>
            <w:tcW w:w="861" w:type="dxa"/>
            <w:vMerge w:val="continue"/>
            <w:vAlign w:val="center"/>
          </w:tcPr>
          <w:p>
            <w:pPr>
              <w:pStyle w:val="79"/>
              <w:adjustRightInd w:val="0"/>
              <w:snapToGrid w:val="0"/>
              <w:jc w:val="center"/>
              <w:rPr>
                <w:rFonts w:eastAsia="仿宋"/>
                <w:color w:val="auto"/>
                <w:sz w:val="21"/>
                <w:szCs w:val="21"/>
                <w:highlight w:val="none"/>
              </w:rPr>
            </w:pPr>
          </w:p>
        </w:tc>
        <w:tc>
          <w:tcPr>
            <w:tcW w:w="1584" w:type="dxa"/>
            <w:vMerge w:val="continue"/>
            <w:vAlign w:val="center"/>
          </w:tcPr>
          <w:p>
            <w:pPr>
              <w:pStyle w:val="79"/>
              <w:adjustRightInd w:val="0"/>
              <w:snapToGrid w:val="0"/>
              <w:jc w:val="center"/>
              <w:rPr>
                <w:rFonts w:eastAsia="仿宋"/>
                <w:color w:val="auto"/>
                <w:sz w:val="21"/>
                <w:szCs w:val="21"/>
                <w:highlight w:val="none"/>
              </w:rPr>
            </w:pPr>
          </w:p>
        </w:tc>
        <w:tc>
          <w:tcPr>
            <w:tcW w:w="1455" w:type="dxa"/>
            <w:gridSpan w:val="2"/>
            <w:vAlign w:val="center"/>
          </w:tcPr>
          <w:p>
            <w:pPr>
              <w:adjustRightInd w:val="0"/>
              <w:snapToGrid w:val="0"/>
              <w:jc w:val="center"/>
              <w:rPr>
                <w:rFonts w:eastAsia="仿宋"/>
                <w:color w:val="auto"/>
                <w:szCs w:val="21"/>
                <w:highlight w:val="none"/>
              </w:rPr>
            </w:pPr>
            <w:r>
              <w:rPr>
                <w:rFonts w:eastAsia="仿宋"/>
                <w:color w:val="auto"/>
                <w:spacing w:val="1"/>
                <w:szCs w:val="21"/>
                <w:highlight w:val="none"/>
              </w:rPr>
              <w:t>外露长度</w:t>
            </w:r>
          </w:p>
        </w:tc>
        <w:tc>
          <w:tcPr>
            <w:tcW w:w="942" w:type="dxa"/>
            <w:vAlign w:val="center"/>
          </w:tcPr>
          <w:p>
            <w:pPr>
              <w:adjustRightInd w:val="0"/>
              <w:snapToGrid w:val="0"/>
              <w:jc w:val="center"/>
              <w:rPr>
                <w:rFonts w:eastAsia="仿宋"/>
                <w:color w:val="auto"/>
                <w:szCs w:val="21"/>
                <w:highlight w:val="none"/>
              </w:rPr>
            </w:pPr>
            <w:r>
              <w:rPr>
                <w:rFonts w:eastAsia="仿宋"/>
                <w:color w:val="auto"/>
                <w:position w:val="2"/>
                <w:szCs w:val="21"/>
                <w:highlight w:val="none"/>
              </w:rPr>
              <w:t>+5</w:t>
            </w:r>
            <w:r>
              <w:rPr>
                <w:rFonts w:eastAsia="仿宋"/>
                <w:color w:val="auto"/>
                <w:spacing w:val="-2"/>
                <w:szCs w:val="21"/>
                <w:highlight w:val="none"/>
              </w:rPr>
              <w:t>，</w:t>
            </w:r>
            <w:r>
              <w:rPr>
                <w:rFonts w:eastAsia="仿宋"/>
                <w:color w:val="auto"/>
                <w:position w:val="2"/>
                <w:szCs w:val="21"/>
                <w:highlight w:val="none"/>
              </w:rPr>
              <w:t>0</w:t>
            </w:r>
          </w:p>
        </w:tc>
        <w:tc>
          <w:tcPr>
            <w:tcW w:w="1525" w:type="dxa"/>
            <w:gridSpan w:val="3"/>
            <w:vAlign w:val="center"/>
          </w:tcPr>
          <w:p>
            <w:pPr>
              <w:pStyle w:val="79"/>
              <w:adjustRightInd w:val="0"/>
              <w:snapToGrid w:val="0"/>
              <w:jc w:val="center"/>
              <w:rPr>
                <w:rFonts w:eastAsia="仿宋"/>
                <w:color w:val="auto"/>
                <w:sz w:val="21"/>
                <w:szCs w:val="21"/>
                <w:highlight w:val="none"/>
              </w:rPr>
            </w:pPr>
          </w:p>
        </w:tc>
        <w:tc>
          <w:tcPr>
            <w:tcW w:w="976" w:type="dxa"/>
            <w:vAlign w:val="center"/>
          </w:tcPr>
          <w:p>
            <w:pPr>
              <w:pStyle w:val="79"/>
              <w:adjustRightInd w:val="0"/>
              <w:snapToGrid w:val="0"/>
              <w:jc w:val="center"/>
              <w:rPr>
                <w:rFonts w:eastAsia="仿宋"/>
                <w:color w:val="auto"/>
                <w:sz w:val="21"/>
                <w:szCs w:val="21"/>
                <w:highlight w:val="none"/>
              </w:rPr>
            </w:pPr>
          </w:p>
        </w:tc>
        <w:tc>
          <w:tcPr>
            <w:tcW w:w="1872" w:type="dxa"/>
            <w:vAlign w:val="center"/>
          </w:tcPr>
          <w:p>
            <w:pPr>
              <w:pStyle w:val="79"/>
              <w:adjustRightInd w:val="0"/>
              <w:snapToGrid w:val="0"/>
              <w:jc w:val="center"/>
              <w:rPr>
                <w:rFonts w:eastAsia="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546" w:type="dxa"/>
            <w:gridSpan w:val="2"/>
            <w:vMerge w:val="restart"/>
            <w:vAlign w:val="center"/>
          </w:tcPr>
          <w:p>
            <w:pPr>
              <w:pStyle w:val="79"/>
              <w:adjustRightInd w:val="0"/>
              <w:snapToGrid w:val="0"/>
              <w:jc w:val="center"/>
              <w:rPr>
                <w:rFonts w:eastAsia="仿宋"/>
                <w:color w:val="auto"/>
                <w:sz w:val="21"/>
                <w:szCs w:val="21"/>
                <w:highlight w:val="none"/>
              </w:rPr>
            </w:pPr>
          </w:p>
        </w:tc>
        <w:tc>
          <w:tcPr>
            <w:tcW w:w="861" w:type="dxa"/>
            <w:vMerge w:val="continue"/>
            <w:vAlign w:val="center"/>
          </w:tcPr>
          <w:p>
            <w:pPr>
              <w:pStyle w:val="79"/>
              <w:adjustRightInd w:val="0"/>
              <w:snapToGrid w:val="0"/>
              <w:jc w:val="center"/>
              <w:rPr>
                <w:rFonts w:eastAsia="仿宋"/>
                <w:color w:val="auto"/>
                <w:sz w:val="21"/>
                <w:szCs w:val="21"/>
                <w:highlight w:val="none"/>
              </w:rPr>
            </w:pPr>
          </w:p>
        </w:tc>
        <w:tc>
          <w:tcPr>
            <w:tcW w:w="3039" w:type="dxa"/>
            <w:gridSpan w:val="3"/>
            <w:vAlign w:val="center"/>
          </w:tcPr>
          <w:p>
            <w:pPr>
              <w:adjustRightInd w:val="0"/>
              <w:snapToGrid w:val="0"/>
              <w:jc w:val="center"/>
              <w:rPr>
                <w:rFonts w:eastAsia="仿宋"/>
                <w:color w:val="auto"/>
                <w:szCs w:val="21"/>
                <w:highlight w:val="none"/>
              </w:rPr>
            </w:pPr>
            <w:r>
              <w:rPr>
                <w:rFonts w:eastAsia="仿宋"/>
                <w:color w:val="auto"/>
                <w:spacing w:val="-1"/>
                <w:szCs w:val="21"/>
                <w:highlight w:val="none"/>
              </w:rPr>
              <w:t>门窗框位置</w:t>
            </w:r>
          </w:p>
        </w:tc>
        <w:tc>
          <w:tcPr>
            <w:tcW w:w="942" w:type="dxa"/>
            <w:vAlign w:val="center"/>
          </w:tcPr>
          <w:p>
            <w:pPr>
              <w:adjustRightInd w:val="0"/>
              <w:snapToGrid w:val="0"/>
              <w:jc w:val="center"/>
              <w:rPr>
                <w:rFonts w:eastAsia="仿宋"/>
                <w:color w:val="auto"/>
                <w:szCs w:val="21"/>
                <w:highlight w:val="none"/>
              </w:rPr>
            </w:pPr>
            <w:r>
              <w:rPr>
                <w:rFonts w:eastAsia="仿宋"/>
                <w:color w:val="auto"/>
                <w:spacing w:val="1"/>
                <w:szCs w:val="21"/>
                <w:highlight w:val="none"/>
              </w:rPr>
              <w:t>2</w:t>
            </w:r>
          </w:p>
        </w:tc>
        <w:tc>
          <w:tcPr>
            <w:tcW w:w="1525" w:type="dxa"/>
            <w:gridSpan w:val="3"/>
            <w:vAlign w:val="center"/>
          </w:tcPr>
          <w:p>
            <w:pPr>
              <w:pStyle w:val="79"/>
              <w:adjustRightInd w:val="0"/>
              <w:snapToGrid w:val="0"/>
              <w:jc w:val="center"/>
              <w:rPr>
                <w:rFonts w:eastAsia="仿宋"/>
                <w:color w:val="auto"/>
                <w:sz w:val="21"/>
                <w:szCs w:val="21"/>
                <w:highlight w:val="none"/>
              </w:rPr>
            </w:pPr>
          </w:p>
        </w:tc>
        <w:tc>
          <w:tcPr>
            <w:tcW w:w="976" w:type="dxa"/>
            <w:vAlign w:val="center"/>
          </w:tcPr>
          <w:p>
            <w:pPr>
              <w:pStyle w:val="79"/>
              <w:adjustRightInd w:val="0"/>
              <w:snapToGrid w:val="0"/>
              <w:jc w:val="center"/>
              <w:rPr>
                <w:rFonts w:eastAsia="仿宋"/>
                <w:color w:val="auto"/>
                <w:sz w:val="21"/>
                <w:szCs w:val="21"/>
                <w:highlight w:val="none"/>
              </w:rPr>
            </w:pPr>
          </w:p>
        </w:tc>
        <w:tc>
          <w:tcPr>
            <w:tcW w:w="1872" w:type="dxa"/>
            <w:vAlign w:val="center"/>
          </w:tcPr>
          <w:p>
            <w:pPr>
              <w:pStyle w:val="79"/>
              <w:adjustRightInd w:val="0"/>
              <w:snapToGrid w:val="0"/>
              <w:jc w:val="center"/>
              <w:rPr>
                <w:rFonts w:eastAsia="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546" w:type="dxa"/>
            <w:gridSpan w:val="2"/>
            <w:vMerge w:val="continue"/>
            <w:vAlign w:val="center"/>
          </w:tcPr>
          <w:p>
            <w:pPr>
              <w:pStyle w:val="79"/>
              <w:adjustRightInd w:val="0"/>
              <w:snapToGrid w:val="0"/>
              <w:jc w:val="center"/>
              <w:rPr>
                <w:rFonts w:eastAsia="仿宋"/>
                <w:color w:val="auto"/>
                <w:sz w:val="21"/>
                <w:szCs w:val="21"/>
                <w:highlight w:val="none"/>
              </w:rPr>
            </w:pPr>
          </w:p>
        </w:tc>
        <w:tc>
          <w:tcPr>
            <w:tcW w:w="861" w:type="dxa"/>
            <w:vMerge w:val="continue"/>
            <w:vAlign w:val="center"/>
          </w:tcPr>
          <w:p>
            <w:pPr>
              <w:pStyle w:val="79"/>
              <w:adjustRightInd w:val="0"/>
              <w:snapToGrid w:val="0"/>
              <w:jc w:val="center"/>
              <w:rPr>
                <w:rFonts w:eastAsia="仿宋"/>
                <w:color w:val="auto"/>
                <w:sz w:val="21"/>
                <w:szCs w:val="21"/>
                <w:highlight w:val="none"/>
              </w:rPr>
            </w:pPr>
          </w:p>
        </w:tc>
        <w:tc>
          <w:tcPr>
            <w:tcW w:w="3039" w:type="dxa"/>
            <w:gridSpan w:val="3"/>
            <w:vAlign w:val="center"/>
          </w:tcPr>
          <w:p>
            <w:pPr>
              <w:adjustRightInd w:val="0"/>
              <w:snapToGrid w:val="0"/>
              <w:jc w:val="center"/>
              <w:rPr>
                <w:rFonts w:eastAsia="仿宋"/>
                <w:color w:val="auto"/>
                <w:szCs w:val="21"/>
                <w:highlight w:val="none"/>
              </w:rPr>
            </w:pPr>
            <w:r>
              <w:rPr>
                <w:rFonts w:eastAsia="仿宋"/>
                <w:color w:val="auto"/>
                <w:szCs w:val="21"/>
                <w:highlight w:val="none"/>
              </w:rPr>
              <w:t>门窗框高、宽</w:t>
            </w:r>
          </w:p>
        </w:tc>
        <w:tc>
          <w:tcPr>
            <w:tcW w:w="942" w:type="dxa"/>
            <w:vAlign w:val="center"/>
          </w:tcPr>
          <w:p>
            <w:pPr>
              <w:adjustRightInd w:val="0"/>
              <w:snapToGrid w:val="0"/>
              <w:jc w:val="center"/>
              <w:rPr>
                <w:rFonts w:eastAsia="仿宋"/>
                <w:color w:val="auto"/>
                <w:szCs w:val="21"/>
                <w:highlight w:val="none"/>
              </w:rPr>
            </w:pPr>
            <w:r>
              <w:rPr>
                <w:rFonts w:eastAsia="仿宋"/>
                <w:color w:val="auto"/>
                <w:spacing w:val="2"/>
                <w:szCs w:val="21"/>
                <w:highlight w:val="none"/>
              </w:rPr>
              <w:t>±2</w:t>
            </w:r>
          </w:p>
        </w:tc>
        <w:tc>
          <w:tcPr>
            <w:tcW w:w="1525" w:type="dxa"/>
            <w:gridSpan w:val="3"/>
            <w:vAlign w:val="center"/>
          </w:tcPr>
          <w:p>
            <w:pPr>
              <w:pStyle w:val="79"/>
              <w:adjustRightInd w:val="0"/>
              <w:snapToGrid w:val="0"/>
              <w:jc w:val="center"/>
              <w:rPr>
                <w:rFonts w:eastAsia="仿宋"/>
                <w:color w:val="auto"/>
                <w:sz w:val="21"/>
                <w:szCs w:val="21"/>
                <w:highlight w:val="none"/>
              </w:rPr>
            </w:pPr>
          </w:p>
        </w:tc>
        <w:tc>
          <w:tcPr>
            <w:tcW w:w="976" w:type="dxa"/>
            <w:vAlign w:val="center"/>
          </w:tcPr>
          <w:p>
            <w:pPr>
              <w:pStyle w:val="79"/>
              <w:adjustRightInd w:val="0"/>
              <w:snapToGrid w:val="0"/>
              <w:jc w:val="center"/>
              <w:rPr>
                <w:rFonts w:eastAsia="仿宋"/>
                <w:color w:val="auto"/>
                <w:sz w:val="21"/>
                <w:szCs w:val="21"/>
                <w:highlight w:val="none"/>
              </w:rPr>
            </w:pPr>
          </w:p>
        </w:tc>
        <w:tc>
          <w:tcPr>
            <w:tcW w:w="1872" w:type="dxa"/>
            <w:vAlign w:val="center"/>
          </w:tcPr>
          <w:p>
            <w:pPr>
              <w:pStyle w:val="79"/>
              <w:adjustRightInd w:val="0"/>
              <w:snapToGrid w:val="0"/>
              <w:jc w:val="center"/>
              <w:rPr>
                <w:rFonts w:eastAsia="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546" w:type="dxa"/>
            <w:gridSpan w:val="2"/>
            <w:vMerge w:val="continue"/>
            <w:vAlign w:val="center"/>
          </w:tcPr>
          <w:p>
            <w:pPr>
              <w:pStyle w:val="79"/>
              <w:adjustRightInd w:val="0"/>
              <w:snapToGrid w:val="0"/>
              <w:jc w:val="center"/>
              <w:rPr>
                <w:rFonts w:eastAsia="仿宋"/>
                <w:color w:val="auto"/>
                <w:sz w:val="21"/>
                <w:szCs w:val="21"/>
                <w:highlight w:val="none"/>
              </w:rPr>
            </w:pPr>
          </w:p>
        </w:tc>
        <w:tc>
          <w:tcPr>
            <w:tcW w:w="861" w:type="dxa"/>
            <w:vMerge w:val="continue"/>
            <w:vAlign w:val="center"/>
          </w:tcPr>
          <w:p>
            <w:pPr>
              <w:pStyle w:val="79"/>
              <w:adjustRightInd w:val="0"/>
              <w:snapToGrid w:val="0"/>
              <w:jc w:val="center"/>
              <w:rPr>
                <w:rFonts w:eastAsia="仿宋"/>
                <w:color w:val="auto"/>
                <w:sz w:val="21"/>
                <w:szCs w:val="21"/>
                <w:highlight w:val="none"/>
              </w:rPr>
            </w:pPr>
          </w:p>
        </w:tc>
        <w:tc>
          <w:tcPr>
            <w:tcW w:w="3039" w:type="dxa"/>
            <w:gridSpan w:val="3"/>
            <w:vAlign w:val="center"/>
          </w:tcPr>
          <w:p>
            <w:pPr>
              <w:adjustRightInd w:val="0"/>
              <w:snapToGrid w:val="0"/>
              <w:jc w:val="center"/>
              <w:rPr>
                <w:rFonts w:eastAsia="仿宋"/>
                <w:color w:val="auto"/>
                <w:szCs w:val="21"/>
                <w:highlight w:val="none"/>
              </w:rPr>
            </w:pPr>
            <w:r>
              <w:rPr>
                <w:rFonts w:eastAsia="仿宋"/>
                <w:color w:val="auto"/>
                <w:szCs w:val="21"/>
                <w:highlight w:val="none"/>
              </w:rPr>
              <w:t>门窗框对角线</w:t>
            </w:r>
          </w:p>
        </w:tc>
        <w:tc>
          <w:tcPr>
            <w:tcW w:w="942" w:type="dxa"/>
            <w:vAlign w:val="center"/>
          </w:tcPr>
          <w:p>
            <w:pPr>
              <w:adjustRightInd w:val="0"/>
              <w:snapToGrid w:val="0"/>
              <w:jc w:val="center"/>
              <w:rPr>
                <w:rFonts w:eastAsia="仿宋"/>
                <w:color w:val="auto"/>
                <w:szCs w:val="21"/>
                <w:highlight w:val="none"/>
              </w:rPr>
            </w:pPr>
            <w:r>
              <w:rPr>
                <w:rFonts w:eastAsia="仿宋"/>
                <w:color w:val="auto"/>
                <w:spacing w:val="2"/>
                <w:szCs w:val="21"/>
                <w:highlight w:val="none"/>
              </w:rPr>
              <w:t>±2</w:t>
            </w:r>
          </w:p>
        </w:tc>
        <w:tc>
          <w:tcPr>
            <w:tcW w:w="1525" w:type="dxa"/>
            <w:gridSpan w:val="3"/>
            <w:vAlign w:val="center"/>
          </w:tcPr>
          <w:p>
            <w:pPr>
              <w:pStyle w:val="79"/>
              <w:adjustRightInd w:val="0"/>
              <w:snapToGrid w:val="0"/>
              <w:jc w:val="center"/>
              <w:rPr>
                <w:rFonts w:eastAsia="仿宋"/>
                <w:color w:val="auto"/>
                <w:sz w:val="21"/>
                <w:szCs w:val="21"/>
                <w:highlight w:val="none"/>
              </w:rPr>
            </w:pPr>
          </w:p>
        </w:tc>
        <w:tc>
          <w:tcPr>
            <w:tcW w:w="976" w:type="dxa"/>
            <w:vAlign w:val="center"/>
          </w:tcPr>
          <w:p>
            <w:pPr>
              <w:pStyle w:val="79"/>
              <w:adjustRightInd w:val="0"/>
              <w:snapToGrid w:val="0"/>
              <w:jc w:val="center"/>
              <w:rPr>
                <w:rFonts w:eastAsia="仿宋"/>
                <w:color w:val="auto"/>
                <w:sz w:val="21"/>
                <w:szCs w:val="21"/>
                <w:highlight w:val="none"/>
              </w:rPr>
            </w:pPr>
          </w:p>
        </w:tc>
        <w:tc>
          <w:tcPr>
            <w:tcW w:w="1872" w:type="dxa"/>
            <w:vAlign w:val="center"/>
          </w:tcPr>
          <w:p>
            <w:pPr>
              <w:pStyle w:val="79"/>
              <w:adjustRightInd w:val="0"/>
              <w:snapToGrid w:val="0"/>
              <w:jc w:val="center"/>
              <w:rPr>
                <w:rFonts w:eastAsia="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546" w:type="dxa"/>
            <w:gridSpan w:val="2"/>
            <w:vMerge w:val="continue"/>
            <w:vAlign w:val="center"/>
          </w:tcPr>
          <w:p>
            <w:pPr>
              <w:pStyle w:val="79"/>
              <w:adjustRightInd w:val="0"/>
              <w:snapToGrid w:val="0"/>
              <w:jc w:val="center"/>
              <w:rPr>
                <w:rFonts w:eastAsia="仿宋"/>
                <w:color w:val="auto"/>
                <w:sz w:val="21"/>
                <w:szCs w:val="21"/>
                <w:highlight w:val="none"/>
              </w:rPr>
            </w:pPr>
          </w:p>
        </w:tc>
        <w:tc>
          <w:tcPr>
            <w:tcW w:w="861" w:type="dxa"/>
            <w:vMerge w:val="continue"/>
            <w:vAlign w:val="center"/>
          </w:tcPr>
          <w:p>
            <w:pPr>
              <w:pStyle w:val="79"/>
              <w:adjustRightInd w:val="0"/>
              <w:snapToGrid w:val="0"/>
              <w:jc w:val="center"/>
              <w:rPr>
                <w:rFonts w:eastAsia="仿宋"/>
                <w:color w:val="auto"/>
                <w:sz w:val="21"/>
                <w:szCs w:val="21"/>
                <w:highlight w:val="none"/>
              </w:rPr>
            </w:pPr>
          </w:p>
        </w:tc>
        <w:tc>
          <w:tcPr>
            <w:tcW w:w="3039" w:type="dxa"/>
            <w:gridSpan w:val="3"/>
            <w:vAlign w:val="center"/>
          </w:tcPr>
          <w:p>
            <w:pPr>
              <w:adjustRightInd w:val="0"/>
              <w:snapToGrid w:val="0"/>
              <w:jc w:val="center"/>
              <w:rPr>
                <w:rFonts w:eastAsia="仿宋"/>
                <w:color w:val="auto"/>
                <w:szCs w:val="21"/>
                <w:highlight w:val="none"/>
              </w:rPr>
            </w:pPr>
            <w:r>
              <w:rPr>
                <w:rFonts w:eastAsia="仿宋"/>
                <w:color w:val="auto"/>
                <w:szCs w:val="21"/>
                <w:highlight w:val="none"/>
              </w:rPr>
              <w:t>门窗框的平整度</w:t>
            </w:r>
          </w:p>
        </w:tc>
        <w:tc>
          <w:tcPr>
            <w:tcW w:w="942" w:type="dxa"/>
            <w:vAlign w:val="center"/>
          </w:tcPr>
          <w:p>
            <w:pPr>
              <w:adjustRightInd w:val="0"/>
              <w:snapToGrid w:val="0"/>
              <w:jc w:val="center"/>
              <w:rPr>
                <w:rFonts w:eastAsia="仿宋"/>
                <w:color w:val="auto"/>
                <w:szCs w:val="21"/>
                <w:highlight w:val="none"/>
              </w:rPr>
            </w:pPr>
            <w:r>
              <w:rPr>
                <w:rFonts w:eastAsia="仿宋"/>
                <w:color w:val="auto"/>
                <w:spacing w:val="1"/>
                <w:szCs w:val="21"/>
                <w:highlight w:val="none"/>
              </w:rPr>
              <w:t>2</w:t>
            </w:r>
          </w:p>
        </w:tc>
        <w:tc>
          <w:tcPr>
            <w:tcW w:w="1525" w:type="dxa"/>
            <w:gridSpan w:val="3"/>
            <w:vAlign w:val="center"/>
          </w:tcPr>
          <w:p>
            <w:pPr>
              <w:pStyle w:val="79"/>
              <w:adjustRightInd w:val="0"/>
              <w:snapToGrid w:val="0"/>
              <w:jc w:val="center"/>
              <w:rPr>
                <w:rFonts w:eastAsia="仿宋"/>
                <w:color w:val="auto"/>
                <w:sz w:val="21"/>
                <w:szCs w:val="21"/>
                <w:highlight w:val="none"/>
              </w:rPr>
            </w:pPr>
          </w:p>
        </w:tc>
        <w:tc>
          <w:tcPr>
            <w:tcW w:w="976" w:type="dxa"/>
            <w:vAlign w:val="center"/>
          </w:tcPr>
          <w:p>
            <w:pPr>
              <w:pStyle w:val="79"/>
              <w:adjustRightInd w:val="0"/>
              <w:snapToGrid w:val="0"/>
              <w:jc w:val="center"/>
              <w:rPr>
                <w:rFonts w:eastAsia="仿宋"/>
                <w:color w:val="auto"/>
                <w:sz w:val="21"/>
                <w:szCs w:val="21"/>
                <w:highlight w:val="none"/>
              </w:rPr>
            </w:pPr>
          </w:p>
        </w:tc>
        <w:tc>
          <w:tcPr>
            <w:tcW w:w="1872" w:type="dxa"/>
            <w:vAlign w:val="center"/>
          </w:tcPr>
          <w:p>
            <w:pPr>
              <w:pStyle w:val="79"/>
              <w:adjustRightInd w:val="0"/>
              <w:snapToGrid w:val="0"/>
              <w:jc w:val="center"/>
              <w:rPr>
                <w:rFonts w:eastAsia="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3253" w:type="dxa"/>
            <w:gridSpan w:val="5"/>
            <w:vAlign w:val="bottom"/>
          </w:tcPr>
          <w:p>
            <w:pPr>
              <w:spacing w:before="58" w:line="219" w:lineRule="auto"/>
              <w:rPr>
                <w:rFonts w:eastAsia="仿宋"/>
                <w:color w:val="auto"/>
                <w:szCs w:val="21"/>
                <w:highlight w:val="none"/>
              </w:rPr>
            </w:pPr>
            <w:r>
              <w:rPr>
                <w:rFonts w:eastAsia="仿宋"/>
                <w:color w:val="auto"/>
                <w:spacing w:val="-3"/>
                <w:szCs w:val="21"/>
                <w:highlight w:val="none"/>
              </w:rPr>
              <w:t>模块制造单位</w:t>
            </w:r>
          </w:p>
          <w:p>
            <w:pPr>
              <w:spacing w:before="117" w:line="219" w:lineRule="auto"/>
              <w:rPr>
                <w:rFonts w:eastAsia="仿宋"/>
                <w:color w:val="auto"/>
                <w:spacing w:val="-2"/>
                <w:szCs w:val="21"/>
                <w:highlight w:val="none"/>
              </w:rPr>
            </w:pPr>
            <w:r>
              <w:rPr>
                <w:rFonts w:eastAsia="仿宋"/>
                <w:color w:val="auto"/>
                <w:spacing w:val="-2"/>
                <w:szCs w:val="21"/>
                <w:highlight w:val="none"/>
              </w:rPr>
              <w:t>项目负责人：</w:t>
            </w:r>
          </w:p>
          <w:p>
            <w:pPr>
              <w:pStyle w:val="79"/>
              <w:adjustRightInd w:val="0"/>
              <w:snapToGrid w:val="0"/>
              <w:jc w:val="center"/>
              <w:rPr>
                <w:rFonts w:eastAsia="仿宋"/>
                <w:color w:val="auto"/>
                <w:sz w:val="21"/>
                <w:szCs w:val="21"/>
                <w:highlight w:val="none"/>
              </w:rPr>
            </w:pPr>
            <w:r>
              <w:rPr>
                <w:rFonts w:eastAsia="仿宋"/>
                <w:color w:val="auto"/>
                <w:spacing w:val="-7"/>
                <w:sz w:val="21"/>
                <w:szCs w:val="21"/>
                <w:highlight w:val="none"/>
              </w:rPr>
              <w:t>年</w:t>
            </w:r>
            <w:r>
              <w:rPr>
                <w:rFonts w:eastAsia="仿宋"/>
                <w:color w:val="auto"/>
                <w:spacing w:val="3"/>
                <w:sz w:val="21"/>
                <w:szCs w:val="21"/>
                <w:highlight w:val="none"/>
              </w:rPr>
              <w:t xml:space="preserve">    </w:t>
            </w:r>
            <w:r>
              <w:rPr>
                <w:rFonts w:eastAsia="仿宋"/>
                <w:color w:val="auto"/>
                <w:spacing w:val="-7"/>
                <w:sz w:val="21"/>
                <w:szCs w:val="21"/>
                <w:highlight w:val="none"/>
              </w:rPr>
              <w:t>月</w:t>
            </w:r>
            <w:r>
              <w:rPr>
                <w:rFonts w:eastAsia="仿宋"/>
                <w:color w:val="auto"/>
                <w:spacing w:val="9"/>
                <w:sz w:val="21"/>
                <w:szCs w:val="21"/>
                <w:highlight w:val="none"/>
              </w:rPr>
              <w:t xml:space="preserve">    </w:t>
            </w:r>
            <w:r>
              <w:rPr>
                <w:rFonts w:eastAsia="仿宋"/>
                <w:color w:val="auto"/>
                <w:spacing w:val="-7"/>
                <w:sz w:val="21"/>
                <w:szCs w:val="21"/>
                <w:highlight w:val="none"/>
              </w:rPr>
              <w:t>日</w:t>
            </w:r>
          </w:p>
        </w:tc>
        <w:tc>
          <w:tcPr>
            <w:tcW w:w="3254" w:type="dxa"/>
            <w:gridSpan w:val="4"/>
            <w:vAlign w:val="center"/>
          </w:tcPr>
          <w:p>
            <w:pPr>
              <w:spacing w:before="58" w:line="219" w:lineRule="auto"/>
              <w:rPr>
                <w:rFonts w:eastAsia="仿宋"/>
                <w:color w:val="auto"/>
                <w:szCs w:val="21"/>
                <w:highlight w:val="none"/>
              </w:rPr>
            </w:pPr>
            <w:r>
              <w:rPr>
                <w:rFonts w:hint="eastAsia" w:eastAsia="仿宋"/>
                <w:color w:val="auto"/>
                <w:spacing w:val="-3"/>
                <w:szCs w:val="21"/>
                <w:highlight w:val="none"/>
              </w:rPr>
              <w:t>施工</w:t>
            </w:r>
            <w:r>
              <w:rPr>
                <w:rFonts w:eastAsia="仿宋"/>
                <w:color w:val="auto"/>
                <w:spacing w:val="-3"/>
                <w:szCs w:val="21"/>
                <w:highlight w:val="none"/>
              </w:rPr>
              <w:t>单位</w:t>
            </w:r>
          </w:p>
          <w:p>
            <w:pPr>
              <w:spacing w:before="117" w:line="219" w:lineRule="auto"/>
              <w:rPr>
                <w:rFonts w:eastAsia="仿宋"/>
                <w:color w:val="auto"/>
                <w:spacing w:val="-2"/>
                <w:szCs w:val="21"/>
                <w:highlight w:val="none"/>
              </w:rPr>
            </w:pPr>
            <w:r>
              <w:rPr>
                <w:rFonts w:eastAsia="仿宋"/>
                <w:color w:val="auto"/>
                <w:spacing w:val="-2"/>
                <w:szCs w:val="21"/>
                <w:highlight w:val="none"/>
              </w:rPr>
              <w:t>项目负责人：</w:t>
            </w:r>
          </w:p>
          <w:p>
            <w:pPr>
              <w:pStyle w:val="79"/>
              <w:adjustRightInd w:val="0"/>
              <w:snapToGrid w:val="0"/>
              <w:jc w:val="center"/>
              <w:rPr>
                <w:rFonts w:eastAsia="仿宋"/>
                <w:color w:val="auto"/>
                <w:sz w:val="21"/>
                <w:szCs w:val="21"/>
                <w:highlight w:val="none"/>
                <w:lang w:eastAsia="zh-CN"/>
              </w:rPr>
            </w:pPr>
            <w:r>
              <w:rPr>
                <w:rFonts w:eastAsia="仿宋"/>
                <w:color w:val="auto"/>
                <w:spacing w:val="-7"/>
                <w:sz w:val="21"/>
                <w:szCs w:val="21"/>
                <w:highlight w:val="none"/>
                <w:lang w:eastAsia="zh-CN"/>
              </w:rPr>
              <w:t>年</w:t>
            </w:r>
            <w:r>
              <w:rPr>
                <w:rFonts w:eastAsia="仿宋"/>
                <w:color w:val="auto"/>
                <w:spacing w:val="3"/>
                <w:sz w:val="21"/>
                <w:szCs w:val="21"/>
                <w:highlight w:val="none"/>
                <w:lang w:eastAsia="zh-CN"/>
              </w:rPr>
              <w:t xml:space="preserve">    </w:t>
            </w:r>
            <w:r>
              <w:rPr>
                <w:rFonts w:eastAsia="仿宋"/>
                <w:color w:val="auto"/>
                <w:spacing w:val="-7"/>
                <w:sz w:val="21"/>
                <w:szCs w:val="21"/>
                <w:highlight w:val="none"/>
                <w:lang w:eastAsia="zh-CN"/>
              </w:rPr>
              <w:t>月</w:t>
            </w:r>
            <w:r>
              <w:rPr>
                <w:rFonts w:eastAsia="仿宋"/>
                <w:color w:val="auto"/>
                <w:spacing w:val="9"/>
                <w:sz w:val="21"/>
                <w:szCs w:val="21"/>
                <w:highlight w:val="none"/>
                <w:lang w:eastAsia="zh-CN"/>
              </w:rPr>
              <w:t xml:space="preserve">    </w:t>
            </w:r>
            <w:r>
              <w:rPr>
                <w:rFonts w:eastAsia="仿宋"/>
                <w:color w:val="auto"/>
                <w:spacing w:val="-7"/>
                <w:sz w:val="21"/>
                <w:szCs w:val="21"/>
                <w:highlight w:val="none"/>
                <w:lang w:eastAsia="zh-CN"/>
              </w:rPr>
              <w:t>日</w:t>
            </w:r>
          </w:p>
        </w:tc>
        <w:tc>
          <w:tcPr>
            <w:tcW w:w="3254" w:type="dxa"/>
            <w:gridSpan w:val="3"/>
            <w:vAlign w:val="center"/>
          </w:tcPr>
          <w:p>
            <w:pPr>
              <w:spacing w:before="58" w:line="219" w:lineRule="auto"/>
              <w:rPr>
                <w:rFonts w:eastAsia="仿宋"/>
                <w:color w:val="auto"/>
                <w:szCs w:val="21"/>
                <w:highlight w:val="none"/>
              </w:rPr>
            </w:pPr>
            <w:r>
              <w:rPr>
                <w:rFonts w:hint="eastAsia" w:eastAsia="仿宋"/>
                <w:color w:val="auto"/>
                <w:spacing w:val="-3"/>
                <w:szCs w:val="21"/>
                <w:highlight w:val="none"/>
              </w:rPr>
              <w:t>监理</w:t>
            </w:r>
            <w:r>
              <w:rPr>
                <w:rFonts w:eastAsia="仿宋"/>
                <w:color w:val="auto"/>
                <w:spacing w:val="-3"/>
                <w:szCs w:val="21"/>
                <w:highlight w:val="none"/>
              </w:rPr>
              <w:t>单位</w:t>
            </w:r>
          </w:p>
          <w:p>
            <w:pPr>
              <w:spacing w:before="117" w:line="219" w:lineRule="auto"/>
              <w:rPr>
                <w:rFonts w:eastAsia="仿宋"/>
                <w:color w:val="auto"/>
                <w:spacing w:val="-2"/>
                <w:szCs w:val="21"/>
                <w:highlight w:val="none"/>
              </w:rPr>
            </w:pPr>
            <w:r>
              <w:rPr>
                <w:rFonts w:hint="eastAsia" w:eastAsia="仿宋"/>
                <w:color w:val="auto"/>
                <w:spacing w:val="-2"/>
                <w:szCs w:val="21"/>
                <w:highlight w:val="none"/>
              </w:rPr>
              <w:t>专业监理工程师</w:t>
            </w:r>
            <w:r>
              <w:rPr>
                <w:rFonts w:eastAsia="仿宋"/>
                <w:color w:val="auto"/>
                <w:spacing w:val="-2"/>
                <w:szCs w:val="21"/>
                <w:highlight w:val="none"/>
              </w:rPr>
              <w:t>：</w:t>
            </w:r>
          </w:p>
          <w:p>
            <w:pPr>
              <w:pStyle w:val="79"/>
              <w:adjustRightInd w:val="0"/>
              <w:snapToGrid w:val="0"/>
              <w:jc w:val="center"/>
              <w:rPr>
                <w:rFonts w:eastAsia="仿宋"/>
                <w:color w:val="auto"/>
                <w:sz w:val="21"/>
                <w:szCs w:val="21"/>
                <w:highlight w:val="none"/>
                <w:lang w:eastAsia="zh-CN"/>
              </w:rPr>
            </w:pPr>
            <w:r>
              <w:rPr>
                <w:rFonts w:eastAsia="仿宋"/>
                <w:color w:val="auto"/>
                <w:spacing w:val="-7"/>
                <w:sz w:val="21"/>
                <w:szCs w:val="21"/>
                <w:highlight w:val="none"/>
              </w:rPr>
              <w:t>年</w:t>
            </w:r>
            <w:r>
              <w:rPr>
                <w:rFonts w:eastAsia="仿宋"/>
                <w:color w:val="auto"/>
                <w:spacing w:val="3"/>
                <w:sz w:val="21"/>
                <w:szCs w:val="21"/>
                <w:highlight w:val="none"/>
              </w:rPr>
              <w:t xml:space="preserve">    </w:t>
            </w:r>
            <w:r>
              <w:rPr>
                <w:rFonts w:eastAsia="仿宋"/>
                <w:color w:val="auto"/>
                <w:spacing w:val="-7"/>
                <w:sz w:val="21"/>
                <w:szCs w:val="21"/>
                <w:highlight w:val="none"/>
              </w:rPr>
              <w:t>月</w:t>
            </w:r>
            <w:r>
              <w:rPr>
                <w:rFonts w:eastAsia="仿宋"/>
                <w:color w:val="auto"/>
                <w:spacing w:val="9"/>
                <w:sz w:val="21"/>
                <w:szCs w:val="21"/>
                <w:highlight w:val="none"/>
              </w:rPr>
              <w:t xml:space="preserve">    </w:t>
            </w:r>
            <w:r>
              <w:rPr>
                <w:rFonts w:eastAsia="仿宋"/>
                <w:color w:val="auto"/>
                <w:spacing w:val="-7"/>
                <w:sz w:val="21"/>
                <w:szCs w:val="21"/>
                <w:highlight w:val="none"/>
              </w:rPr>
              <w:t>日</w:t>
            </w:r>
          </w:p>
        </w:tc>
      </w:tr>
    </w:tbl>
    <w:p>
      <w:pPr>
        <w:spacing w:before="335" w:line="212" w:lineRule="auto"/>
        <w:rPr>
          <w:color w:val="auto"/>
          <w:highlight w:val="none"/>
        </w:rPr>
      </w:pPr>
    </w:p>
    <w:p>
      <w:pPr>
        <w:rPr>
          <w:color w:val="auto"/>
          <w:highlight w:val="none"/>
        </w:rPr>
        <w:sectPr>
          <w:pgSz w:w="11906" w:h="16838"/>
          <w:pgMar w:top="1610" w:right="1349" w:bottom="1213" w:left="1293" w:header="851" w:footer="992" w:gutter="0"/>
          <w:cols w:space="720" w:num="1"/>
          <w:docGrid w:type="linesAndChars" w:linePitch="333" w:charSpace="2165"/>
        </w:sectPr>
      </w:pPr>
    </w:p>
    <w:p>
      <w:pPr>
        <w:pStyle w:val="4"/>
        <w:spacing w:before="166" w:beforeLines="50" w:after="166" w:afterLines="50"/>
        <w:jc w:val="center"/>
        <w:rPr>
          <w:rFonts w:hint="eastAsia"/>
          <w:color w:val="auto"/>
          <w:sz w:val="21"/>
          <w:szCs w:val="32"/>
          <w:highlight w:val="none"/>
        </w:rPr>
      </w:pPr>
      <w:bookmarkStart w:id="1694" w:name="_Toc2951"/>
      <w:r>
        <w:rPr>
          <w:rFonts w:hint="eastAsia"/>
          <w:b w:val="0"/>
          <w:bCs/>
          <w:color w:val="auto"/>
          <w:sz w:val="21"/>
          <w:szCs w:val="32"/>
          <w:highlight w:val="none"/>
        </w:rPr>
        <w:t>A</w:t>
      </w:r>
      <w:r>
        <w:rPr>
          <w:rFonts w:hint="eastAsia" w:ascii="Times New Roman" w:hAnsi="Times New Roman" w:eastAsia="黑体" w:cs="Times New Roman"/>
          <w:b w:val="0"/>
          <w:bCs/>
          <w:color w:val="auto"/>
          <w:sz w:val="21"/>
          <w:szCs w:val="32"/>
          <w:highlight w:val="none"/>
        </w:rPr>
        <w:t>.0.</w:t>
      </w:r>
      <w:r>
        <w:rPr>
          <w:rFonts w:hint="eastAsia"/>
          <w:b w:val="0"/>
          <w:bCs/>
          <w:color w:val="auto"/>
          <w:sz w:val="21"/>
          <w:szCs w:val="32"/>
          <w:highlight w:val="none"/>
        </w:rPr>
        <w:t xml:space="preserve">3  </w:t>
      </w:r>
      <w:r>
        <w:rPr>
          <w:rFonts w:hint="eastAsia"/>
          <w:color w:val="auto"/>
          <w:sz w:val="21"/>
          <w:szCs w:val="32"/>
          <w:highlight w:val="none"/>
        </w:rPr>
        <w:t>模块单元钢筋、预埋件质量验收记录表</w:t>
      </w:r>
      <w:bookmarkEnd w:id="1694"/>
    </w:p>
    <w:p>
      <w:pPr>
        <w:autoSpaceDE w:val="0"/>
        <w:autoSpaceDN w:val="0"/>
        <w:adjustRightInd w:val="0"/>
        <w:ind w:left="190"/>
        <w:jc w:val="center"/>
        <w:rPr>
          <w:rFonts w:eastAsia="仿宋"/>
          <w:b/>
          <w:bCs/>
          <w:color w:val="auto"/>
          <w:spacing w:val="0"/>
          <w:kern w:val="0"/>
          <w:szCs w:val="24"/>
          <w:highlight w:val="none"/>
        </w:rPr>
      </w:pPr>
      <w:r>
        <w:rPr>
          <w:rFonts w:eastAsia="仿宋"/>
          <w:b/>
          <w:bCs/>
          <w:color w:val="auto"/>
          <w:spacing w:val="0"/>
          <w:kern w:val="0"/>
          <w:szCs w:val="24"/>
          <w:highlight w:val="none"/>
        </w:rPr>
        <w:t>表A</w:t>
      </w:r>
      <w:r>
        <w:rPr>
          <w:rFonts w:hint="default" w:ascii="Times New Roman" w:hAnsi="Times New Roman" w:eastAsia="仿宋" w:cs="Times New Roman"/>
          <w:b/>
          <w:bCs/>
          <w:color w:val="auto"/>
          <w:spacing w:val="0"/>
          <w:kern w:val="0"/>
          <w:szCs w:val="24"/>
          <w:highlight w:val="none"/>
        </w:rPr>
        <w:t>.0.</w:t>
      </w:r>
      <w:r>
        <w:rPr>
          <w:rFonts w:eastAsia="仿宋"/>
          <w:b/>
          <w:bCs/>
          <w:color w:val="auto"/>
          <w:spacing w:val="0"/>
          <w:kern w:val="0"/>
          <w:szCs w:val="24"/>
          <w:highlight w:val="none"/>
        </w:rPr>
        <w:t>3  模块单元钢筋、预埋件质量验收记录表</w:t>
      </w:r>
    </w:p>
    <w:p>
      <w:pPr>
        <w:spacing w:line="38" w:lineRule="exact"/>
        <w:rPr>
          <w:color w:val="auto"/>
          <w:highlight w:val="none"/>
        </w:rPr>
      </w:pPr>
    </w:p>
    <w:tbl>
      <w:tblPr>
        <w:tblStyle w:val="24"/>
        <w:tblW w:w="1013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517"/>
        <w:gridCol w:w="856"/>
        <w:gridCol w:w="2006"/>
        <w:gridCol w:w="546"/>
        <w:gridCol w:w="1169"/>
        <w:gridCol w:w="1087"/>
        <w:gridCol w:w="577"/>
        <w:gridCol w:w="598"/>
        <w:gridCol w:w="1175"/>
        <w:gridCol w:w="160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703" w:hRule="atLeast"/>
          <w:jc w:val="center"/>
        </w:trPr>
        <w:tc>
          <w:tcPr>
            <w:tcW w:w="1373" w:type="dxa"/>
            <w:gridSpan w:val="2"/>
            <w:tcBorders>
              <w:top w:val="single" w:color="auto" w:sz="8" w:space="0"/>
              <w:left w:val="single" w:color="auto" w:sz="8" w:space="0"/>
            </w:tcBorders>
            <w:vAlign w:val="center"/>
          </w:tcPr>
          <w:p>
            <w:pPr>
              <w:jc w:val="center"/>
              <w:rPr>
                <w:rFonts w:eastAsia="仿宋"/>
                <w:color w:val="auto"/>
                <w:szCs w:val="21"/>
                <w:highlight w:val="none"/>
              </w:rPr>
            </w:pPr>
            <w:r>
              <w:rPr>
                <w:rFonts w:eastAsia="仿宋"/>
                <w:color w:val="auto"/>
                <w:spacing w:val="6"/>
                <w:szCs w:val="21"/>
                <w:highlight w:val="none"/>
              </w:rPr>
              <w:t>工程名称</w:t>
            </w:r>
          </w:p>
        </w:tc>
        <w:tc>
          <w:tcPr>
            <w:tcW w:w="8765" w:type="dxa"/>
            <w:gridSpan w:val="8"/>
            <w:tcBorders>
              <w:top w:val="single" w:color="auto" w:sz="8" w:space="0"/>
              <w:right w:val="single" w:color="auto" w:sz="8" w:space="0"/>
            </w:tcBorders>
            <w:vAlign w:val="center"/>
          </w:tcPr>
          <w:p>
            <w:pPr>
              <w:jc w:val="center"/>
              <w:rPr>
                <w:rFonts w:eastAsia="仿宋"/>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688" w:hRule="atLeast"/>
          <w:jc w:val="center"/>
        </w:trPr>
        <w:tc>
          <w:tcPr>
            <w:tcW w:w="1373" w:type="dxa"/>
            <w:gridSpan w:val="2"/>
            <w:tcBorders>
              <w:left w:val="single" w:color="auto" w:sz="8" w:space="0"/>
            </w:tcBorders>
            <w:vAlign w:val="center"/>
          </w:tcPr>
          <w:p>
            <w:pPr>
              <w:jc w:val="center"/>
              <w:rPr>
                <w:rFonts w:eastAsia="仿宋"/>
                <w:color w:val="auto"/>
                <w:szCs w:val="21"/>
                <w:highlight w:val="none"/>
              </w:rPr>
            </w:pPr>
            <w:r>
              <w:rPr>
                <w:rFonts w:eastAsia="仿宋"/>
                <w:color w:val="auto"/>
                <w:spacing w:val="8"/>
                <w:szCs w:val="21"/>
                <w:highlight w:val="none"/>
              </w:rPr>
              <w:t>模块单元编号</w:t>
            </w:r>
          </w:p>
        </w:tc>
        <w:tc>
          <w:tcPr>
            <w:tcW w:w="3721" w:type="dxa"/>
            <w:gridSpan w:val="3"/>
            <w:vAlign w:val="center"/>
          </w:tcPr>
          <w:p>
            <w:pPr>
              <w:jc w:val="center"/>
              <w:rPr>
                <w:rFonts w:eastAsia="仿宋"/>
                <w:color w:val="auto"/>
                <w:szCs w:val="21"/>
                <w:highlight w:val="none"/>
              </w:rPr>
            </w:pPr>
          </w:p>
        </w:tc>
        <w:tc>
          <w:tcPr>
            <w:tcW w:w="1087" w:type="dxa"/>
            <w:vAlign w:val="center"/>
          </w:tcPr>
          <w:p>
            <w:pPr>
              <w:jc w:val="center"/>
              <w:rPr>
                <w:rFonts w:eastAsia="仿宋"/>
                <w:color w:val="auto"/>
                <w:szCs w:val="21"/>
                <w:highlight w:val="none"/>
              </w:rPr>
            </w:pPr>
            <w:r>
              <w:rPr>
                <w:rFonts w:eastAsia="仿宋"/>
                <w:color w:val="auto"/>
                <w:spacing w:val="5"/>
                <w:szCs w:val="21"/>
                <w:highlight w:val="none"/>
              </w:rPr>
              <w:t>产品编号</w:t>
            </w:r>
          </w:p>
        </w:tc>
        <w:tc>
          <w:tcPr>
            <w:tcW w:w="3957" w:type="dxa"/>
            <w:gridSpan w:val="4"/>
            <w:tcBorders>
              <w:right w:val="single" w:color="auto" w:sz="8" w:space="0"/>
            </w:tcBorders>
            <w:vAlign w:val="center"/>
          </w:tcPr>
          <w:p>
            <w:pPr>
              <w:jc w:val="center"/>
              <w:rPr>
                <w:rFonts w:eastAsia="仿宋"/>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687" w:hRule="atLeast"/>
          <w:jc w:val="center"/>
        </w:trPr>
        <w:tc>
          <w:tcPr>
            <w:tcW w:w="1373" w:type="dxa"/>
            <w:gridSpan w:val="2"/>
            <w:tcBorders>
              <w:left w:val="single" w:color="auto" w:sz="8" w:space="0"/>
            </w:tcBorders>
            <w:vAlign w:val="center"/>
          </w:tcPr>
          <w:p>
            <w:pPr>
              <w:jc w:val="center"/>
              <w:rPr>
                <w:rFonts w:eastAsia="仿宋"/>
                <w:color w:val="auto"/>
                <w:szCs w:val="21"/>
                <w:highlight w:val="none"/>
              </w:rPr>
            </w:pPr>
            <w:r>
              <w:rPr>
                <w:rFonts w:eastAsia="仿宋"/>
                <w:color w:val="auto"/>
                <w:spacing w:val="5"/>
                <w:szCs w:val="21"/>
                <w:highlight w:val="none"/>
              </w:rPr>
              <w:t>制造批号</w:t>
            </w:r>
          </w:p>
        </w:tc>
        <w:tc>
          <w:tcPr>
            <w:tcW w:w="3721" w:type="dxa"/>
            <w:gridSpan w:val="3"/>
            <w:vAlign w:val="center"/>
          </w:tcPr>
          <w:p>
            <w:pPr>
              <w:jc w:val="center"/>
              <w:rPr>
                <w:rFonts w:eastAsia="仿宋"/>
                <w:color w:val="auto"/>
                <w:szCs w:val="21"/>
                <w:highlight w:val="none"/>
              </w:rPr>
            </w:pPr>
          </w:p>
        </w:tc>
        <w:tc>
          <w:tcPr>
            <w:tcW w:w="1087" w:type="dxa"/>
            <w:vAlign w:val="center"/>
          </w:tcPr>
          <w:p>
            <w:pPr>
              <w:jc w:val="center"/>
              <w:rPr>
                <w:rFonts w:eastAsia="仿宋"/>
                <w:color w:val="auto"/>
                <w:szCs w:val="21"/>
                <w:highlight w:val="none"/>
              </w:rPr>
            </w:pPr>
            <w:r>
              <w:rPr>
                <w:rFonts w:eastAsia="仿宋"/>
                <w:color w:val="auto"/>
                <w:spacing w:val="5"/>
                <w:szCs w:val="21"/>
                <w:highlight w:val="none"/>
              </w:rPr>
              <w:t>检查日期</w:t>
            </w:r>
          </w:p>
        </w:tc>
        <w:tc>
          <w:tcPr>
            <w:tcW w:w="3957" w:type="dxa"/>
            <w:gridSpan w:val="4"/>
            <w:tcBorders>
              <w:right w:val="single" w:color="auto" w:sz="8" w:space="0"/>
            </w:tcBorders>
            <w:vAlign w:val="center"/>
          </w:tcPr>
          <w:p>
            <w:pPr>
              <w:jc w:val="center"/>
              <w:rPr>
                <w:rFonts w:eastAsia="仿宋"/>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0" w:hRule="atLeast"/>
          <w:jc w:val="center"/>
        </w:trPr>
        <w:tc>
          <w:tcPr>
            <w:tcW w:w="3925" w:type="dxa"/>
            <w:gridSpan w:val="4"/>
            <w:vMerge w:val="restart"/>
            <w:tcBorders>
              <w:left w:val="single" w:color="auto" w:sz="8" w:space="0"/>
            </w:tcBorders>
            <w:vAlign w:val="center"/>
          </w:tcPr>
          <w:p>
            <w:pPr>
              <w:jc w:val="center"/>
              <w:rPr>
                <w:rFonts w:eastAsia="仿宋"/>
                <w:color w:val="auto"/>
                <w:szCs w:val="21"/>
                <w:highlight w:val="none"/>
              </w:rPr>
            </w:pPr>
            <w:r>
              <w:rPr>
                <w:rFonts w:eastAsia="仿宋"/>
                <w:color w:val="auto"/>
                <w:spacing w:val="10"/>
                <w:szCs w:val="21"/>
                <w:highlight w:val="none"/>
              </w:rPr>
              <w:t>检查项目及内容</w:t>
            </w:r>
          </w:p>
        </w:tc>
        <w:tc>
          <w:tcPr>
            <w:tcW w:w="1169" w:type="dxa"/>
            <w:vMerge w:val="restart"/>
            <w:vAlign w:val="center"/>
          </w:tcPr>
          <w:p>
            <w:pPr>
              <w:jc w:val="center"/>
              <w:rPr>
                <w:rFonts w:eastAsia="仿宋"/>
                <w:color w:val="auto"/>
                <w:szCs w:val="21"/>
                <w:highlight w:val="none"/>
              </w:rPr>
            </w:pPr>
            <w:r>
              <w:rPr>
                <w:rFonts w:eastAsia="仿宋"/>
                <w:color w:val="auto"/>
                <w:spacing w:val="7"/>
                <w:szCs w:val="21"/>
                <w:highlight w:val="none"/>
              </w:rPr>
              <w:t>设计要求及</w:t>
            </w:r>
            <w:r>
              <w:rPr>
                <w:rFonts w:eastAsia="仿宋"/>
                <w:color w:val="auto"/>
                <w:spacing w:val="2"/>
                <w:szCs w:val="21"/>
                <w:highlight w:val="none"/>
              </w:rPr>
              <w:t xml:space="preserve"> </w:t>
            </w:r>
            <w:r>
              <w:rPr>
                <w:rFonts w:eastAsia="仿宋"/>
                <w:color w:val="auto"/>
                <w:spacing w:val="5"/>
                <w:szCs w:val="21"/>
                <w:highlight w:val="none"/>
              </w:rPr>
              <w:t>规范规定</w:t>
            </w:r>
          </w:p>
        </w:tc>
        <w:tc>
          <w:tcPr>
            <w:tcW w:w="5044" w:type="dxa"/>
            <w:gridSpan w:val="5"/>
            <w:tcBorders>
              <w:right w:val="single" w:color="auto" w:sz="8" w:space="0"/>
            </w:tcBorders>
            <w:vAlign w:val="center"/>
          </w:tcPr>
          <w:p>
            <w:pPr>
              <w:jc w:val="center"/>
              <w:rPr>
                <w:rFonts w:eastAsia="仿宋"/>
                <w:color w:val="auto"/>
                <w:szCs w:val="21"/>
                <w:highlight w:val="none"/>
              </w:rPr>
            </w:pPr>
            <w:r>
              <w:rPr>
                <w:rFonts w:eastAsia="仿宋"/>
                <w:color w:val="auto"/>
                <w:spacing w:val="-2"/>
                <w:szCs w:val="21"/>
                <w:highlight w:val="none"/>
              </w:rPr>
              <w:t>检查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0" w:hRule="atLeast"/>
          <w:jc w:val="center"/>
        </w:trPr>
        <w:tc>
          <w:tcPr>
            <w:tcW w:w="3925" w:type="dxa"/>
            <w:gridSpan w:val="4"/>
            <w:vMerge w:val="continue"/>
            <w:tcBorders>
              <w:left w:val="single" w:color="auto" w:sz="8" w:space="0"/>
            </w:tcBorders>
            <w:vAlign w:val="center"/>
          </w:tcPr>
          <w:p>
            <w:pPr>
              <w:jc w:val="center"/>
              <w:rPr>
                <w:rFonts w:eastAsia="仿宋"/>
                <w:color w:val="auto"/>
                <w:szCs w:val="21"/>
                <w:highlight w:val="none"/>
              </w:rPr>
            </w:pPr>
          </w:p>
        </w:tc>
        <w:tc>
          <w:tcPr>
            <w:tcW w:w="1169" w:type="dxa"/>
            <w:vMerge w:val="continue"/>
            <w:vAlign w:val="center"/>
          </w:tcPr>
          <w:p>
            <w:pPr>
              <w:jc w:val="center"/>
              <w:rPr>
                <w:rFonts w:eastAsia="仿宋"/>
                <w:color w:val="auto"/>
                <w:szCs w:val="21"/>
                <w:highlight w:val="none"/>
              </w:rPr>
            </w:pPr>
          </w:p>
        </w:tc>
        <w:tc>
          <w:tcPr>
            <w:tcW w:w="2262" w:type="dxa"/>
            <w:gridSpan w:val="3"/>
            <w:vAlign w:val="center"/>
          </w:tcPr>
          <w:p>
            <w:pPr>
              <w:jc w:val="center"/>
              <w:rPr>
                <w:rFonts w:eastAsia="仿宋"/>
                <w:color w:val="auto"/>
                <w:szCs w:val="21"/>
                <w:highlight w:val="none"/>
              </w:rPr>
            </w:pPr>
            <w:r>
              <w:rPr>
                <w:rFonts w:hint="eastAsia" w:eastAsia="仿宋"/>
                <w:color w:val="auto"/>
                <w:spacing w:val="-2"/>
                <w:szCs w:val="21"/>
                <w:highlight w:val="none"/>
              </w:rPr>
              <w:t>检验结果</w:t>
            </w:r>
          </w:p>
        </w:tc>
        <w:tc>
          <w:tcPr>
            <w:tcW w:w="1175" w:type="dxa"/>
            <w:vAlign w:val="center"/>
          </w:tcPr>
          <w:p>
            <w:pPr>
              <w:jc w:val="center"/>
              <w:rPr>
                <w:rFonts w:eastAsia="仿宋"/>
                <w:color w:val="auto"/>
                <w:szCs w:val="21"/>
                <w:highlight w:val="none"/>
              </w:rPr>
            </w:pPr>
            <w:r>
              <w:rPr>
                <w:rFonts w:eastAsia="仿宋"/>
                <w:color w:val="auto"/>
                <w:spacing w:val="8"/>
                <w:szCs w:val="21"/>
                <w:highlight w:val="none"/>
              </w:rPr>
              <w:t>质量检查员</w:t>
            </w:r>
          </w:p>
        </w:tc>
        <w:tc>
          <w:tcPr>
            <w:tcW w:w="1607" w:type="dxa"/>
            <w:tcBorders>
              <w:right w:val="single" w:color="auto" w:sz="8" w:space="0"/>
            </w:tcBorders>
            <w:vAlign w:val="center"/>
          </w:tcPr>
          <w:p>
            <w:pPr>
              <w:jc w:val="center"/>
              <w:rPr>
                <w:rFonts w:eastAsia="仿宋"/>
                <w:color w:val="auto"/>
                <w:szCs w:val="21"/>
                <w:highlight w:val="none"/>
              </w:rPr>
            </w:pPr>
            <w:r>
              <w:rPr>
                <w:rFonts w:eastAsia="仿宋"/>
                <w:color w:val="auto"/>
                <w:spacing w:val="8"/>
                <w:szCs w:val="21"/>
                <w:highlight w:val="none"/>
              </w:rPr>
              <w:t>质量复核人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57" w:hRule="atLeast"/>
          <w:jc w:val="center"/>
        </w:trPr>
        <w:tc>
          <w:tcPr>
            <w:tcW w:w="517" w:type="dxa"/>
            <w:tcBorders>
              <w:left w:val="single" w:color="auto" w:sz="8" w:space="0"/>
            </w:tcBorders>
            <w:vAlign w:val="center"/>
          </w:tcPr>
          <w:p>
            <w:pPr>
              <w:pStyle w:val="79"/>
              <w:jc w:val="center"/>
              <w:rPr>
                <w:rFonts w:eastAsia="仿宋"/>
                <w:color w:val="auto"/>
                <w:sz w:val="21"/>
                <w:szCs w:val="21"/>
                <w:highlight w:val="none"/>
              </w:rPr>
            </w:pPr>
            <w:r>
              <w:rPr>
                <w:rFonts w:eastAsia="仿宋"/>
                <w:color w:val="auto"/>
                <w:sz w:val="21"/>
                <w:szCs w:val="21"/>
                <w:highlight w:val="none"/>
              </w:rPr>
              <w:t>1</w:t>
            </w:r>
          </w:p>
        </w:tc>
        <w:tc>
          <w:tcPr>
            <w:tcW w:w="3408" w:type="dxa"/>
            <w:gridSpan w:val="3"/>
            <w:vAlign w:val="center"/>
          </w:tcPr>
          <w:p>
            <w:pPr>
              <w:jc w:val="center"/>
              <w:rPr>
                <w:rFonts w:eastAsia="仿宋"/>
                <w:color w:val="auto"/>
                <w:szCs w:val="21"/>
                <w:highlight w:val="none"/>
              </w:rPr>
            </w:pPr>
            <w:r>
              <w:rPr>
                <w:rFonts w:eastAsia="仿宋"/>
                <w:color w:val="auto"/>
                <w:spacing w:val="10"/>
                <w:szCs w:val="21"/>
                <w:highlight w:val="none"/>
              </w:rPr>
              <w:t>钢筋、预埋件原材料</w:t>
            </w:r>
          </w:p>
        </w:tc>
        <w:tc>
          <w:tcPr>
            <w:tcW w:w="1169" w:type="dxa"/>
            <w:vMerge w:val="restart"/>
            <w:vAlign w:val="center"/>
          </w:tcPr>
          <w:p>
            <w:pPr>
              <w:jc w:val="center"/>
              <w:rPr>
                <w:rFonts w:eastAsia="仿宋"/>
                <w:color w:val="auto"/>
                <w:szCs w:val="21"/>
                <w:highlight w:val="none"/>
              </w:rPr>
            </w:pPr>
          </w:p>
        </w:tc>
        <w:tc>
          <w:tcPr>
            <w:tcW w:w="2262" w:type="dxa"/>
            <w:gridSpan w:val="3"/>
            <w:vAlign w:val="center"/>
          </w:tcPr>
          <w:p>
            <w:pPr>
              <w:jc w:val="center"/>
              <w:rPr>
                <w:rFonts w:eastAsia="仿宋"/>
                <w:color w:val="auto"/>
                <w:szCs w:val="21"/>
                <w:highlight w:val="none"/>
              </w:rPr>
            </w:pPr>
          </w:p>
        </w:tc>
        <w:tc>
          <w:tcPr>
            <w:tcW w:w="1175" w:type="dxa"/>
            <w:vAlign w:val="center"/>
          </w:tcPr>
          <w:p>
            <w:pPr>
              <w:jc w:val="center"/>
              <w:rPr>
                <w:rFonts w:eastAsia="仿宋"/>
                <w:color w:val="auto"/>
                <w:szCs w:val="21"/>
                <w:highlight w:val="none"/>
              </w:rPr>
            </w:pPr>
          </w:p>
        </w:tc>
        <w:tc>
          <w:tcPr>
            <w:tcW w:w="1607" w:type="dxa"/>
            <w:tcBorders>
              <w:right w:val="single" w:color="auto" w:sz="8" w:space="0"/>
            </w:tcBorders>
            <w:vAlign w:val="center"/>
          </w:tcPr>
          <w:p>
            <w:pPr>
              <w:jc w:val="center"/>
              <w:rPr>
                <w:rFonts w:eastAsia="仿宋"/>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57" w:hRule="atLeast"/>
          <w:jc w:val="center"/>
        </w:trPr>
        <w:tc>
          <w:tcPr>
            <w:tcW w:w="517" w:type="dxa"/>
            <w:tcBorders>
              <w:left w:val="single" w:color="auto" w:sz="8" w:space="0"/>
            </w:tcBorders>
            <w:vAlign w:val="center"/>
          </w:tcPr>
          <w:p>
            <w:pPr>
              <w:pStyle w:val="79"/>
              <w:jc w:val="center"/>
              <w:rPr>
                <w:rFonts w:eastAsia="仿宋"/>
                <w:color w:val="auto"/>
                <w:sz w:val="21"/>
                <w:szCs w:val="21"/>
                <w:highlight w:val="none"/>
              </w:rPr>
            </w:pPr>
            <w:r>
              <w:rPr>
                <w:rFonts w:eastAsia="仿宋"/>
                <w:color w:val="auto"/>
                <w:sz w:val="21"/>
                <w:szCs w:val="21"/>
                <w:highlight w:val="none"/>
              </w:rPr>
              <w:t>2</w:t>
            </w:r>
          </w:p>
        </w:tc>
        <w:tc>
          <w:tcPr>
            <w:tcW w:w="3408" w:type="dxa"/>
            <w:gridSpan w:val="3"/>
            <w:vAlign w:val="center"/>
          </w:tcPr>
          <w:p>
            <w:pPr>
              <w:jc w:val="center"/>
              <w:rPr>
                <w:rFonts w:eastAsia="仿宋"/>
                <w:color w:val="auto"/>
                <w:szCs w:val="21"/>
                <w:highlight w:val="none"/>
              </w:rPr>
            </w:pPr>
            <w:r>
              <w:rPr>
                <w:rFonts w:eastAsia="仿宋"/>
                <w:color w:val="auto"/>
                <w:spacing w:val="10"/>
                <w:szCs w:val="21"/>
                <w:highlight w:val="none"/>
              </w:rPr>
              <w:t>钢筋制作及预埋件安装</w:t>
            </w:r>
          </w:p>
        </w:tc>
        <w:tc>
          <w:tcPr>
            <w:tcW w:w="1169" w:type="dxa"/>
            <w:vMerge w:val="continue"/>
            <w:vAlign w:val="center"/>
          </w:tcPr>
          <w:p>
            <w:pPr>
              <w:jc w:val="center"/>
              <w:rPr>
                <w:rFonts w:eastAsia="仿宋"/>
                <w:color w:val="auto"/>
                <w:szCs w:val="21"/>
                <w:highlight w:val="none"/>
              </w:rPr>
            </w:pPr>
          </w:p>
        </w:tc>
        <w:tc>
          <w:tcPr>
            <w:tcW w:w="2262" w:type="dxa"/>
            <w:gridSpan w:val="3"/>
            <w:vAlign w:val="center"/>
          </w:tcPr>
          <w:p>
            <w:pPr>
              <w:jc w:val="center"/>
              <w:rPr>
                <w:rFonts w:eastAsia="仿宋"/>
                <w:color w:val="auto"/>
                <w:szCs w:val="21"/>
                <w:highlight w:val="none"/>
              </w:rPr>
            </w:pPr>
          </w:p>
        </w:tc>
        <w:tc>
          <w:tcPr>
            <w:tcW w:w="1175" w:type="dxa"/>
            <w:vAlign w:val="center"/>
          </w:tcPr>
          <w:p>
            <w:pPr>
              <w:jc w:val="center"/>
              <w:rPr>
                <w:rFonts w:eastAsia="仿宋"/>
                <w:color w:val="auto"/>
                <w:szCs w:val="21"/>
                <w:highlight w:val="none"/>
              </w:rPr>
            </w:pPr>
          </w:p>
        </w:tc>
        <w:tc>
          <w:tcPr>
            <w:tcW w:w="1607" w:type="dxa"/>
            <w:tcBorders>
              <w:right w:val="single" w:color="auto" w:sz="8" w:space="0"/>
            </w:tcBorders>
            <w:vAlign w:val="center"/>
          </w:tcPr>
          <w:p>
            <w:pPr>
              <w:jc w:val="center"/>
              <w:rPr>
                <w:rFonts w:eastAsia="仿宋"/>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57" w:hRule="atLeast"/>
          <w:jc w:val="center"/>
        </w:trPr>
        <w:tc>
          <w:tcPr>
            <w:tcW w:w="517" w:type="dxa"/>
            <w:tcBorders>
              <w:left w:val="single" w:color="auto" w:sz="8" w:space="0"/>
            </w:tcBorders>
            <w:vAlign w:val="center"/>
          </w:tcPr>
          <w:p>
            <w:pPr>
              <w:pStyle w:val="79"/>
              <w:jc w:val="center"/>
              <w:rPr>
                <w:rFonts w:eastAsia="仿宋"/>
                <w:color w:val="auto"/>
                <w:sz w:val="21"/>
                <w:szCs w:val="21"/>
                <w:highlight w:val="none"/>
              </w:rPr>
            </w:pPr>
            <w:r>
              <w:rPr>
                <w:rFonts w:eastAsia="仿宋"/>
                <w:color w:val="auto"/>
                <w:sz w:val="21"/>
                <w:szCs w:val="21"/>
                <w:highlight w:val="none"/>
              </w:rPr>
              <w:t>3</w:t>
            </w:r>
          </w:p>
        </w:tc>
        <w:tc>
          <w:tcPr>
            <w:tcW w:w="3408" w:type="dxa"/>
            <w:gridSpan w:val="3"/>
            <w:vAlign w:val="center"/>
          </w:tcPr>
          <w:p>
            <w:pPr>
              <w:jc w:val="center"/>
              <w:rPr>
                <w:rFonts w:eastAsia="仿宋"/>
                <w:color w:val="auto"/>
                <w:szCs w:val="21"/>
                <w:highlight w:val="none"/>
              </w:rPr>
            </w:pPr>
            <w:r>
              <w:rPr>
                <w:rFonts w:eastAsia="仿宋"/>
                <w:color w:val="auto"/>
                <w:spacing w:val="-4"/>
                <w:szCs w:val="21"/>
                <w:highlight w:val="none"/>
              </w:rPr>
              <w:t>隐蔽验收</w:t>
            </w:r>
          </w:p>
        </w:tc>
        <w:tc>
          <w:tcPr>
            <w:tcW w:w="1169" w:type="dxa"/>
            <w:vMerge w:val="continue"/>
            <w:vAlign w:val="center"/>
          </w:tcPr>
          <w:p>
            <w:pPr>
              <w:jc w:val="center"/>
              <w:rPr>
                <w:rFonts w:eastAsia="仿宋"/>
                <w:color w:val="auto"/>
                <w:szCs w:val="21"/>
                <w:highlight w:val="none"/>
              </w:rPr>
            </w:pPr>
          </w:p>
        </w:tc>
        <w:tc>
          <w:tcPr>
            <w:tcW w:w="2262" w:type="dxa"/>
            <w:gridSpan w:val="3"/>
            <w:vAlign w:val="center"/>
          </w:tcPr>
          <w:p>
            <w:pPr>
              <w:jc w:val="center"/>
              <w:rPr>
                <w:rFonts w:eastAsia="仿宋"/>
                <w:color w:val="auto"/>
                <w:szCs w:val="21"/>
                <w:highlight w:val="none"/>
              </w:rPr>
            </w:pPr>
          </w:p>
        </w:tc>
        <w:tc>
          <w:tcPr>
            <w:tcW w:w="1175" w:type="dxa"/>
            <w:vAlign w:val="center"/>
          </w:tcPr>
          <w:p>
            <w:pPr>
              <w:jc w:val="center"/>
              <w:rPr>
                <w:rFonts w:eastAsia="仿宋"/>
                <w:color w:val="auto"/>
                <w:szCs w:val="21"/>
                <w:highlight w:val="none"/>
              </w:rPr>
            </w:pPr>
          </w:p>
        </w:tc>
        <w:tc>
          <w:tcPr>
            <w:tcW w:w="1607" w:type="dxa"/>
            <w:tcBorders>
              <w:right w:val="single" w:color="auto" w:sz="8" w:space="0"/>
            </w:tcBorders>
            <w:vAlign w:val="center"/>
          </w:tcPr>
          <w:p>
            <w:pPr>
              <w:jc w:val="center"/>
              <w:rPr>
                <w:rFonts w:eastAsia="仿宋"/>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57" w:hRule="atLeast"/>
          <w:jc w:val="center"/>
        </w:trPr>
        <w:tc>
          <w:tcPr>
            <w:tcW w:w="3379" w:type="dxa"/>
            <w:gridSpan w:val="3"/>
            <w:tcBorders>
              <w:left w:val="single" w:color="000000" w:sz="8" w:space="0"/>
              <w:bottom w:val="single" w:color="000000" w:sz="8" w:space="0"/>
              <w:right w:val="single" w:color="auto" w:sz="4" w:space="0"/>
            </w:tcBorders>
            <w:vAlign w:val="center"/>
          </w:tcPr>
          <w:p>
            <w:pPr>
              <w:spacing w:before="58" w:line="219" w:lineRule="auto"/>
              <w:rPr>
                <w:rFonts w:eastAsia="仿宋"/>
                <w:color w:val="auto"/>
                <w:szCs w:val="21"/>
                <w:highlight w:val="none"/>
              </w:rPr>
            </w:pPr>
            <w:r>
              <w:rPr>
                <w:rFonts w:hint="eastAsia" w:eastAsia="仿宋"/>
                <w:color w:val="auto"/>
                <w:spacing w:val="-3"/>
                <w:szCs w:val="21"/>
                <w:highlight w:val="none"/>
              </w:rPr>
              <w:t>模块制造</w:t>
            </w:r>
            <w:r>
              <w:rPr>
                <w:rFonts w:eastAsia="仿宋"/>
                <w:color w:val="auto"/>
                <w:spacing w:val="-3"/>
                <w:szCs w:val="21"/>
                <w:highlight w:val="none"/>
              </w:rPr>
              <w:t>单位</w:t>
            </w:r>
          </w:p>
          <w:p>
            <w:pPr>
              <w:spacing w:before="117" w:line="219" w:lineRule="auto"/>
              <w:rPr>
                <w:rFonts w:eastAsia="仿宋"/>
                <w:color w:val="auto"/>
                <w:spacing w:val="-2"/>
                <w:szCs w:val="21"/>
                <w:highlight w:val="none"/>
              </w:rPr>
            </w:pPr>
            <w:r>
              <w:rPr>
                <w:rFonts w:eastAsia="仿宋"/>
                <w:color w:val="auto"/>
                <w:spacing w:val="-2"/>
                <w:szCs w:val="21"/>
                <w:highlight w:val="none"/>
              </w:rPr>
              <w:t>项目负责人：</w:t>
            </w:r>
          </w:p>
          <w:p>
            <w:pPr>
              <w:jc w:val="center"/>
              <w:rPr>
                <w:rFonts w:eastAsia="仿宋"/>
                <w:color w:val="auto"/>
                <w:szCs w:val="21"/>
                <w:highlight w:val="none"/>
              </w:rPr>
            </w:pPr>
            <w:r>
              <w:rPr>
                <w:rFonts w:eastAsia="仿宋"/>
                <w:color w:val="auto"/>
                <w:spacing w:val="-7"/>
                <w:szCs w:val="21"/>
                <w:highlight w:val="none"/>
              </w:rPr>
              <w:t>年</w:t>
            </w:r>
            <w:r>
              <w:rPr>
                <w:rFonts w:eastAsia="仿宋"/>
                <w:color w:val="auto"/>
                <w:spacing w:val="3"/>
                <w:szCs w:val="21"/>
                <w:highlight w:val="none"/>
              </w:rPr>
              <w:t xml:space="preserve">    </w:t>
            </w:r>
            <w:r>
              <w:rPr>
                <w:rFonts w:eastAsia="仿宋"/>
                <w:color w:val="auto"/>
                <w:spacing w:val="-7"/>
                <w:szCs w:val="21"/>
                <w:highlight w:val="none"/>
              </w:rPr>
              <w:t>月</w:t>
            </w:r>
            <w:r>
              <w:rPr>
                <w:rFonts w:eastAsia="仿宋"/>
                <w:color w:val="auto"/>
                <w:spacing w:val="9"/>
                <w:szCs w:val="21"/>
                <w:highlight w:val="none"/>
              </w:rPr>
              <w:t xml:space="preserve">    </w:t>
            </w:r>
            <w:r>
              <w:rPr>
                <w:rFonts w:eastAsia="仿宋"/>
                <w:color w:val="auto"/>
                <w:spacing w:val="-7"/>
                <w:szCs w:val="21"/>
                <w:highlight w:val="none"/>
              </w:rPr>
              <w:t>日</w:t>
            </w:r>
          </w:p>
        </w:tc>
        <w:tc>
          <w:tcPr>
            <w:tcW w:w="3379" w:type="dxa"/>
            <w:gridSpan w:val="4"/>
            <w:tcBorders>
              <w:left w:val="single" w:color="auto" w:sz="4" w:space="0"/>
              <w:bottom w:val="single" w:color="000000" w:sz="8" w:space="0"/>
              <w:right w:val="single" w:color="auto" w:sz="4" w:space="0"/>
            </w:tcBorders>
            <w:vAlign w:val="center"/>
          </w:tcPr>
          <w:p>
            <w:pPr>
              <w:spacing w:before="58" w:line="219" w:lineRule="auto"/>
              <w:rPr>
                <w:rFonts w:eastAsia="仿宋"/>
                <w:color w:val="auto"/>
                <w:szCs w:val="21"/>
                <w:highlight w:val="none"/>
              </w:rPr>
            </w:pPr>
            <w:r>
              <w:rPr>
                <w:rFonts w:hint="eastAsia" w:eastAsia="仿宋"/>
                <w:color w:val="auto"/>
                <w:spacing w:val="-3"/>
                <w:szCs w:val="21"/>
                <w:highlight w:val="none"/>
              </w:rPr>
              <w:t>施工</w:t>
            </w:r>
            <w:r>
              <w:rPr>
                <w:rFonts w:eastAsia="仿宋"/>
                <w:color w:val="auto"/>
                <w:spacing w:val="-3"/>
                <w:szCs w:val="21"/>
                <w:highlight w:val="none"/>
              </w:rPr>
              <w:t>单位</w:t>
            </w:r>
          </w:p>
          <w:p>
            <w:pPr>
              <w:spacing w:before="117" w:line="219" w:lineRule="auto"/>
              <w:rPr>
                <w:rFonts w:eastAsia="仿宋"/>
                <w:color w:val="auto"/>
                <w:spacing w:val="-2"/>
                <w:szCs w:val="21"/>
                <w:highlight w:val="none"/>
              </w:rPr>
            </w:pPr>
            <w:r>
              <w:rPr>
                <w:rFonts w:eastAsia="仿宋"/>
                <w:color w:val="auto"/>
                <w:spacing w:val="-2"/>
                <w:szCs w:val="21"/>
                <w:highlight w:val="none"/>
              </w:rPr>
              <w:t>项目负责人：</w:t>
            </w:r>
          </w:p>
          <w:p>
            <w:pPr>
              <w:jc w:val="center"/>
              <w:rPr>
                <w:rFonts w:eastAsia="仿宋"/>
                <w:color w:val="auto"/>
                <w:szCs w:val="21"/>
                <w:highlight w:val="none"/>
              </w:rPr>
            </w:pPr>
            <w:r>
              <w:rPr>
                <w:rFonts w:eastAsia="仿宋"/>
                <w:color w:val="auto"/>
                <w:spacing w:val="-7"/>
                <w:szCs w:val="21"/>
                <w:highlight w:val="none"/>
              </w:rPr>
              <w:t>年</w:t>
            </w:r>
            <w:r>
              <w:rPr>
                <w:rFonts w:eastAsia="仿宋"/>
                <w:color w:val="auto"/>
                <w:spacing w:val="3"/>
                <w:szCs w:val="21"/>
                <w:highlight w:val="none"/>
              </w:rPr>
              <w:t xml:space="preserve">    </w:t>
            </w:r>
            <w:r>
              <w:rPr>
                <w:rFonts w:eastAsia="仿宋"/>
                <w:color w:val="auto"/>
                <w:spacing w:val="-7"/>
                <w:szCs w:val="21"/>
                <w:highlight w:val="none"/>
              </w:rPr>
              <w:t>月</w:t>
            </w:r>
            <w:r>
              <w:rPr>
                <w:rFonts w:eastAsia="仿宋"/>
                <w:color w:val="auto"/>
                <w:spacing w:val="9"/>
                <w:szCs w:val="21"/>
                <w:highlight w:val="none"/>
              </w:rPr>
              <w:t xml:space="preserve">    </w:t>
            </w:r>
            <w:r>
              <w:rPr>
                <w:rFonts w:eastAsia="仿宋"/>
                <w:color w:val="auto"/>
                <w:spacing w:val="-7"/>
                <w:szCs w:val="21"/>
                <w:highlight w:val="none"/>
              </w:rPr>
              <w:t>日</w:t>
            </w:r>
          </w:p>
        </w:tc>
        <w:tc>
          <w:tcPr>
            <w:tcW w:w="3380" w:type="dxa"/>
            <w:gridSpan w:val="3"/>
            <w:tcBorders>
              <w:left w:val="single" w:color="auto" w:sz="4" w:space="0"/>
              <w:bottom w:val="single" w:color="000000" w:sz="8" w:space="0"/>
              <w:right w:val="single" w:color="auto" w:sz="8" w:space="0"/>
            </w:tcBorders>
            <w:vAlign w:val="center"/>
          </w:tcPr>
          <w:p>
            <w:pPr>
              <w:spacing w:before="58" w:line="219" w:lineRule="auto"/>
              <w:rPr>
                <w:rFonts w:eastAsia="仿宋"/>
                <w:color w:val="auto"/>
                <w:szCs w:val="21"/>
                <w:highlight w:val="none"/>
              </w:rPr>
            </w:pPr>
            <w:r>
              <w:rPr>
                <w:rFonts w:hint="eastAsia" w:eastAsia="仿宋"/>
                <w:color w:val="auto"/>
                <w:spacing w:val="-3"/>
                <w:szCs w:val="21"/>
                <w:highlight w:val="none"/>
              </w:rPr>
              <w:t>监理</w:t>
            </w:r>
            <w:r>
              <w:rPr>
                <w:rFonts w:eastAsia="仿宋"/>
                <w:color w:val="auto"/>
                <w:spacing w:val="-3"/>
                <w:szCs w:val="21"/>
                <w:highlight w:val="none"/>
              </w:rPr>
              <w:t>单位</w:t>
            </w:r>
          </w:p>
          <w:p>
            <w:pPr>
              <w:spacing w:before="117" w:line="219" w:lineRule="auto"/>
              <w:rPr>
                <w:rFonts w:eastAsia="仿宋"/>
                <w:color w:val="auto"/>
                <w:spacing w:val="-2"/>
                <w:szCs w:val="21"/>
                <w:highlight w:val="none"/>
              </w:rPr>
            </w:pPr>
            <w:r>
              <w:rPr>
                <w:rFonts w:hint="eastAsia" w:eastAsia="仿宋"/>
                <w:color w:val="auto"/>
                <w:spacing w:val="-2"/>
                <w:szCs w:val="21"/>
                <w:highlight w:val="none"/>
              </w:rPr>
              <w:t>专业监理工程师</w:t>
            </w:r>
            <w:r>
              <w:rPr>
                <w:rFonts w:eastAsia="仿宋"/>
                <w:color w:val="auto"/>
                <w:spacing w:val="-2"/>
                <w:szCs w:val="21"/>
                <w:highlight w:val="none"/>
              </w:rPr>
              <w:t>：</w:t>
            </w:r>
          </w:p>
          <w:p>
            <w:pPr>
              <w:jc w:val="center"/>
              <w:rPr>
                <w:rFonts w:eastAsia="仿宋"/>
                <w:color w:val="auto"/>
                <w:szCs w:val="21"/>
                <w:highlight w:val="none"/>
              </w:rPr>
            </w:pPr>
            <w:r>
              <w:rPr>
                <w:rFonts w:eastAsia="仿宋"/>
                <w:color w:val="auto"/>
                <w:spacing w:val="-7"/>
                <w:szCs w:val="21"/>
                <w:highlight w:val="none"/>
              </w:rPr>
              <w:t>年</w:t>
            </w:r>
            <w:r>
              <w:rPr>
                <w:rFonts w:eastAsia="仿宋"/>
                <w:color w:val="auto"/>
                <w:spacing w:val="3"/>
                <w:szCs w:val="21"/>
                <w:highlight w:val="none"/>
              </w:rPr>
              <w:t xml:space="preserve">    </w:t>
            </w:r>
            <w:r>
              <w:rPr>
                <w:rFonts w:eastAsia="仿宋"/>
                <w:color w:val="auto"/>
                <w:spacing w:val="-7"/>
                <w:szCs w:val="21"/>
                <w:highlight w:val="none"/>
              </w:rPr>
              <w:t>月</w:t>
            </w:r>
            <w:r>
              <w:rPr>
                <w:rFonts w:eastAsia="仿宋"/>
                <w:color w:val="auto"/>
                <w:spacing w:val="9"/>
                <w:szCs w:val="21"/>
                <w:highlight w:val="none"/>
              </w:rPr>
              <w:t xml:space="preserve">    </w:t>
            </w:r>
            <w:r>
              <w:rPr>
                <w:rFonts w:eastAsia="仿宋"/>
                <w:color w:val="auto"/>
                <w:spacing w:val="-7"/>
                <w:szCs w:val="21"/>
                <w:highlight w:val="none"/>
              </w:rPr>
              <w:t>日</w:t>
            </w:r>
          </w:p>
        </w:tc>
      </w:tr>
    </w:tbl>
    <w:p>
      <w:pPr>
        <w:outlineLvl w:val="1"/>
        <w:rPr>
          <w:bCs/>
          <w:color w:val="auto"/>
          <w:highlight w:val="none"/>
        </w:rPr>
        <w:sectPr>
          <w:pgSz w:w="11906" w:h="16838"/>
          <w:pgMar w:top="1610" w:right="1349" w:bottom="1213" w:left="1293" w:header="851" w:footer="992" w:gutter="0"/>
          <w:cols w:space="720" w:num="1"/>
          <w:docGrid w:type="linesAndChars" w:linePitch="333" w:charSpace="2165"/>
        </w:sectPr>
      </w:pPr>
    </w:p>
    <w:p>
      <w:pPr>
        <w:pStyle w:val="4"/>
        <w:spacing w:before="166" w:beforeLines="50" w:after="166" w:afterLines="50"/>
        <w:jc w:val="center"/>
        <w:rPr>
          <w:rFonts w:hint="eastAsia"/>
          <w:color w:val="auto"/>
          <w:sz w:val="21"/>
          <w:szCs w:val="32"/>
          <w:highlight w:val="none"/>
        </w:rPr>
      </w:pPr>
      <w:bookmarkStart w:id="1695" w:name="_Toc8731"/>
      <w:r>
        <w:rPr>
          <w:rFonts w:hint="eastAsia"/>
          <w:b w:val="0"/>
          <w:bCs/>
          <w:color w:val="auto"/>
          <w:sz w:val="21"/>
          <w:szCs w:val="32"/>
          <w:highlight w:val="none"/>
        </w:rPr>
        <w:t>A</w:t>
      </w:r>
      <w:r>
        <w:rPr>
          <w:rFonts w:hint="eastAsia" w:ascii="Times New Roman" w:hAnsi="Times New Roman" w:eastAsia="黑体" w:cs="Times New Roman"/>
          <w:b w:val="0"/>
          <w:bCs/>
          <w:color w:val="auto"/>
          <w:sz w:val="21"/>
          <w:szCs w:val="32"/>
          <w:highlight w:val="none"/>
        </w:rPr>
        <w:t>.0.</w:t>
      </w:r>
      <w:r>
        <w:rPr>
          <w:rFonts w:hint="eastAsia"/>
          <w:b w:val="0"/>
          <w:bCs/>
          <w:color w:val="auto"/>
          <w:sz w:val="21"/>
          <w:szCs w:val="32"/>
          <w:highlight w:val="none"/>
        </w:rPr>
        <w:t>4</w:t>
      </w:r>
      <w:r>
        <w:rPr>
          <w:rFonts w:hint="eastAsia"/>
          <w:color w:val="auto"/>
          <w:sz w:val="21"/>
          <w:szCs w:val="32"/>
          <w:highlight w:val="none"/>
        </w:rPr>
        <w:t xml:space="preserve">  模块单元混凝土质量验收记录表</w:t>
      </w:r>
      <w:bookmarkEnd w:id="1695"/>
    </w:p>
    <w:p>
      <w:pPr>
        <w:autoSpaceDE w:val="0"/>
        <w:autoSpaceDN w:val="0"/>
        <w:adjustRightInd w:val="0"/>
        <w:ind w:left="190"/>
        <w:jc w:val="center"/>
        <w:rPr>
          <w:rFonts w:eastAsia="仿宋"/>
          <w:b/>
          <w:bCs/>
          <w:color w:val="auto"/>
          <w:spacing w:val="0"/>
          <w:kern w:val="0"/>
          <w:szCs w:val="24"/>
          <w:highlight w:val="none"/>
        </w:rPr>
      </w:pPr>
      <w:r>
        <w:rPr>
          <w:rFonts w:eastAsia="仿宋"/>
          <w:b/>
          <w:bCs/>
          <w:color w:val="auto"/>
          <w:spacing w:val="0"/>
          <w:kern w:val="0"/>
          <w:szCs w:val="24"/>
          <w:highlight w:val="none"/>
        </w:rPr>
        <w:t>表A</w:t>
      </w:r>
      <w:r>
        <w:rPr>
          <w:rFonts w:hint="default" w:ascii="Times New Roman" w:hAnsi="Times New Roman" w:eastAsia="仿宋" w:cs="Times New Roman"/>
          <w:b/>
          <w:bCs/>
          <w:color w:val="auto"/>
          <w:spacing w:val="0"/>
          <w:kern w:val="0"/>
          <w:szCs w:val="24"/>
          <w:highlight w:val="none"/>
        </w:rPr>
        <w:t>.0.</w:t>
      </w:r>
      <w:r>
        <w:rPr>
          <w:rFonts w:eastAsia="仿宋"/>
          <w:b/>
          <w:bCs/>
          <w:color w:val="auto"/>
          <w:spacing w:val="0"/>
          <w:kern w:val="0"/>
          <w:szCs w:val="24"/>
          <w:highlight w:val="none"/>
        </w:rPr>
        <w:t>4  模块单元混凝土质量验收记录表</w:t>
      </w:r>
    </w:p>
    <w:p>
      <w:pPr>
        <w:spacing w:line="38" w:lineRule="exact"/>
        <w:rPr>
          <w:color w:val="auto"/>
          <w:highlight w:val="none"/>
        </w:rPr>
      </w:pPr>
    </w:p>
    <w:tbl>
      <w:tblPr>
        <w:tblStyle w:val="24"/>
        <w:tblW w:w="9836" w:type="dxa"/>
        <w:jc w:val="center"/>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fixed"/>
        <w:tblCellMar>
          <w:top w:w="0" w:type="dxa"/>
          <w:left w:w="0" w:type="dxa"/>
          <w:bottom w:w="0" w:type="dxa"/>
          <w:right w:w="0" w:type="dxa"/>
        </w:tblCellMar>
      </w:tblPr>
      <w:tblGrid>
        <w:gridCol w:w="505"/>
        <w:gridCol w:w="734"/>
        <w:gridCol w:w="2039"/>
        <w:gridCol w:w="88"/>
        <w:gridCol w:w="1468"/>
        <w:gridCol w:w="1145"/>
        <w:gridCol w:w="578"/>
        <w:gridCol w:w="567"/>
        <w:gridCol w:w="1145"/>
        <w:gridCol w:w="1567"/>
      </w:tblGrid>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698" w:hRule="atLeast"/>
          <w:jc w:val="center"/>
        </w:trPr>
        <w:tc>
          <w:tcPr>
            <w:tcW w:w="1239" w:type="dxa"/>
            <w:gridSpan w:val="2"/>
            <w:vAlign w:val="center"/>
          </w:tcPr>
          <w:p>
            <w:pPr>
              <w:jc w:val="center"/>
              <w:rPr>
                <w:rFonts w:eastAsia="仿宋"/>
                <w:color w:val="auto"/>
                <w:szCs w:val="21"/>
                <w:highlight w:val="none"/>
              </w:rPr>
            </w:pPr>
            <w:r>
              <w:rPr>
                <w:rFonts w:eastAsia="仿宋"/>
                <w:color w:val="auto"/>
                <w:spacing w:val="-3"/>
                <w:szCs w:val="21"/>
                <w:highlight w:val="none"/>
              </w:rPr>
              <w:t>工程名称</w:t>
            </w:r>
          </w:p>
        </w:tc>
        <w:tc>
          <w:tcPr>
            <w:tcW w:w="8597" w:type="dxa"/>
            <w:gridSpan w:val="8"/>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683" w:hRule="atLeast"/>
          <w:jc w:val="center"/>
        </w:trPr>
        <w:tc>
          <w:tcPr>
            <w:tcW w:w="1239" w:type="dxa"/>
            <w:gridSpan w:val="2"/>
            <w:vAlign w:val="center"/>
          </w:tcPr>
          <w:p>
            <w:pPr>
              <w:jc w:val="center"/>
              <w:rPr>
                <w:rFonts w:eastAsia="仿宋"/>
                <w:color w:val="auto"/>
                <w:szCs w:val="21"/>
                <w:highlight w:val="none"/>
              </w:rPr>
            </w:pPr>
            <w:r>
              <w:rPr>
                <w:rFonts w:eastAsia="仿宋"/>
                <w:color w:val="auto"/>
                <w:szCs w:val="21"/>
                <w:highlight w:val="none"/>
              </w:rPr>
              <w:t>模块单元</w:t>
            </w:r>
          </w:p>
          <w:p>
            <w:pPr>
              <w:jc w:val="center"/>
              <w:rPr>
                <w:rFonts w:eastAsia="仿宋"/>
                <w:color w:val="auto"/>
                <w:szCs w:val="21"/>
                <w:highlight w:val="none"/>
              </w:rPr>
            </w:pPr>
            <w:r>
              <w:rPr>
                <w:rFonts w:eastAsia="仿宋"/>
                <w:color w:val="auto"/>
                <w:szCs w:val="21"/>
                <w:highlight w:val="none"/>
              </w:rPr>
              <w:t>编号</w:t>
            </w:r>
          </w:p>
        </w:tc>
        <w:tc>
          <w:tcPr>
            <w:tcW w:w="3595" w:type="dxa"/>
            <w:gridSpan w:val="3"/>
            <w:vAlign w:val="center"/>
          </w:tcPr>
          <w:p>
            <w:pPr>
              <w:jc w:val="center"/>
              <w:rPr>
                <w:rFonts w:eastAsia="仿宋"/>
                <w:color w:val="auto"/>
                <w:szCs w:val="21"/>
                <w:highlight w:val="none"/>
              </w:rPr>
            </w:pPr>
          </w:p>
        </w:tc>
        <w:tc>
          <w:tcPr>
            <w:tcW w:w="1145" w:type="dxa"/>
            <w:vAlign w:val="center"/>
          </w:tcPr>
          <w:p>
            <w:pPr>
              <w:jc w:val="center"/>
              <w:rPr>
                <w:rFonts w:eastAsia="仿宋"/>
                <w:color w:val="auto"/>
                <w:szCs w:val="21"/>
                <w:highlight w:val="none"/>
              </w:rPr>
            </w:pPr>
            <w:r>
              <w:rPr>
                <w:rFonts w:eastAsia="仿宋"/>
                <w:color w:val="auto"/>
                <w:spacing w:val="-1"/>
                <w:szCs w:val="21"/>
                <w:highlight w:val="none"/>
              </w:rPr>
              <w:t>产品编号</w:t>
            </w:r>
          </w:p>
        </w:tc>
        <w:tc>
          <w:tcPr>
            <w:tcW w:w="3857" w:type="dxa"/>
            <w:gridSpan w:val="4"/>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683" w:hRule="atLeast"/>
          <w:jc w:val="center"/>
        </w:trPr>
        <w:tc>
          <w:tcPr>
            <w:tcW w:w="1239" w:type="dxa"/>
            <w:gridSpan w:val="2"/>
            <w:vAlign w:val="center"/>
          </w:tcPr>
          <w:p>
            <w:pPr>
              <w:jc w:val="center"/>
              <w:rPr>
                <w:rFonts w:eastAsia="仿宋"/>
                <w:color w:val="auto"/>
                <w:szCs w:val="21"/>
                <w:highlight w:val="none"/>
              </w:rPr>
            </w:pPr>
            <w:r>
              <w:rPr>
                <w:rFonts w:eastAsia="仿宋"/>
                <w:color w:val="auto"/>
                <w:spacing w:val="-3"/>
                <w:szCs w:val="21"/>
                <w:highlight w:val="none"/>
              </w:rPr>
              <w:t>制造批号</w:t>
            </w:r>
          </w:p>
        </w:tc>
        <w:tc>
          <w:tcPr>
            <w:tcW w:w="3595" w:type="dxa"/>
            <w:gridSpan w:val="3"/>
            <w:vAlign w:val="center"/>
          </w:tcPr>
          <w:p>
            <w:pPr>
              <w:jc w:val="center"/>
              <w:rPr>
                <w:rFonts w:eastAsia="仿宋"/>
                <w:color w:val="auto"/>
                <w:szCs w:val="21"/>
                <w:highlight w:val="none"/>
              </w:rPr>
            </w:pPr>
          </w:p>
        </w:tc>
        <w:tc>
          <w:tcPr>
            <w:tcW w:w="1145" w:type="dxa"/>
            <w:vAlign w:val="center"/>
          </w:tcPr>
          <w:p>
            <w:pPr>
              <w:jc w:val="center"/>
              <w:rPr>
                <w:rFonts w:eastAsia="仿宋"/>
                <w:color w:val="auto"/>
                <w:szCs w:val="21"/>
                <w:highlight w:val="none"/>
              </w:rPr>
            </w:pPr>
            <w:r>
              <w:rPr>
                <w:rFonts w:eastAsia="仿宋"/>
                <w:color w:val="auto"/>
                <w:spacing w:val="-1"/>
                <w:szCs w:val="21"/>
                <w:highlight w:val="none"/>
              </w:rPr>
              <w:t>检查日期</w:t>
            </w:r>
          </w:p>
        </w:tc>
        <w:tc>
          <w:tcPr>
            <w:tcW w:w="3857" w:type="dxa"/>
            <w:gridSpan w:val="4"/>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3366" w:type="dxa"/>
            <w:gridSpan w:val="4"/>
            <w:vMerge w:val="restart"/>
            <w:tcBorders>
              <w:bottom w:val="nil"/>
            </w:tcBorders>
            <w:vAlign w:val="center"/>
          </w:tcPr>
          <w:p>
            <w:pPr>
              <w:jc w:val="center"/>
              <w:rPr>
                <w:rFonts w:eastAsia="仿宋"/>
                <w:color w:val="auto"/>
                <w:szCs w:val="21"/>
                <w:highlight w:val="none"/>
              </w:rPr>
            </w:pPr>
            <w:r>
              <w:rPr>
                <w:rFonts w:eastAsia="仿宋"/>
                <w:color w:val="auto"/>
                <w:spacing w:val="2"/>
                <w:szCs w:val="21"/>
                <w:highlight w:val="none"/>
              </w:rPr>
              <w:t>检查项目及内容</w:t>
            </w:r>
          </w:p>
        </w:tc>
        <w:tc>
          <w:tcPr>
            <w:tcW w:w="1468" w:type="dxa"/>
            <w:vMerge w:val="restart"/>
            <w:tcBorders>
              <w:bottom w:val="nil"/>
            </w:tcBorders>
            <w:vAlign w:val="center"/>
          </w:tcPr>
          <w:p>
            <w:pPr>
              <w:ind w:right="281"/>
              <w:jc w:val="center"/>
              <w:rPr>
                <w:rFonts w:eastAsia="仿宋"/>
                <w:color w:val="auto"/>
                <w:szCs w:val="21"/>
                <w:highlight w:val="none"/>
              </w:rPr>
            </w:pPr>
            <w:r>
              <w:rPr>
                <w:rFonts w:eastAsia="仿宋"/>
                <w:color w:val="auto"/>
                <w:spacing w:val="-1"/>
                <w:szCs w:val="21"/>
                <w:highlight w:val="none"/>
              </w:rPr>
              <w:t>设计要求及</w:t>
            </w:r>
            <w:r>
              <w:rPr>
                <w:rFonts w:eastAsia="仿宋"/>
                <w:color w:val="auto"/>
                <w:spacing w:val="1"/>
                <w:szCs w:val="21"/>
                <w:highlight w:val="none"/>
              </w:rPr>
              <w:t xml:space="preserve"> </w:t>
            </w:r>
            <w:r>
              <w:rPr>
                <w:rFonts w:eastAsia="仿宋"/>
                <w:color w:val="auto"/>
                <w:spacing w:val="-1"/>
                <w:szCs w:val="21"/>
                <w:highlight w:val="none"/>
              </w:rPr>
              <w:t>规范规定</w:t>
            </w:r>
          </w:p>
        </w:tc>
        <w:tc>
          <w:tcPr>
            <w:tcW w:w="5002" w:type="dxa"/>
            <w:gridSpan w:val="5"/>
            <w:vAlign w:val="center"/>
          </w:tcPr>
          <w:p>
            <w:pPr>
              <w:jc w:val="center"/>
              <w:rPr>
                <w:rFonts w:eastAsia="仿宋"/>
                <w:color w:val="auto"/>
                <w:szCs w:val="21"/>
                <w:highlight w:val="none"/>
              </w:rPr>
            </w:pPr>
            <w:r>
              <w:rPr>
                <w:rFonts w:eastAsia="仿宋"/>
                <w:color w:val="auto"/>
                <w:spacing w:val="-4"/>
                <w:szCs w:val="21"/>
                <w:highlight w:val="none"/>
              </w:rPr>
              <w:t>检查</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3366" w:type="dxa"/>
            <w:gridSpan w:val="4"/>
            <w:vMerge w:val="continue"/>
            <w:tcBorders>
              <w:top w:val="nil"/>
            </w:tcBorders>
            <w:vAlign w:val="center"/>
          </w:tcPr>
          <w:p>
            <w:pPr>
              <w:jc w:val="center"/>
              <w:rPr>
                <w:rFonts w:eastAsia="仿宋"/>
                <w:color w:val="auto"/>
                <w:szCs w:val="21"/>
                <w:highlight w:val="none"/>
              </w:rPr>
            </w:pPr>
          </w:p>
        </w:tc>
        <w:tc>
          <w:tcPr>
            <w:tcW w:w="1468" w:type="dxa"/>
            <w:vMerge w:val="continue"/>
            <w:tcBorders>
              <w:top w:val="nil"/>
            </w:tcBorders>
            <w:vAlign w:val="center"/>
          </w:tcPr>
          <w:p>
            <w:pPr>
              <w:jc w:val="center"/>
              <w:rPr>
                <w:rFonts w:eastAsia="仿宋"/>
                <w:color w:val="auto"/>
                <w:szCs w:val="21"/>
                <w:highlight w:val="none"/>
              </w:rPr>
            </w:pPr>
          </w:p>
        </w:tc>
        <w:tc>
          <w:tcPr>
            <w:tcW w:w="2290" w:type="dxa"/>
            <w:gridSpan w:val="3"/>
            <w:vAlign w:val="center"/>
          </w:tcPr>
          <w:p>
            <w:pPr>
              <w:jc w:val="center"/>
              <w:rPr>
                <w:rFonts w:eastAsia="仿宋"/>
                <w:color w:val="auto"/>
                <w:szCs w:val="21"/>
                <w:highlight w:val="none"/>
              </w:rPr>
            </w:pPr>
            <w:r>
              <w:rPr>
                <w:rFonts w:hint="eastAsia" w:eastAsia="仿宋"/>
                <w:color w:val="auto"/>
                <w:spacing w:val="-2"/>
                <w:szCs w:val="21"/>
                <w:highlight w:val="none"/>
              </w:rPr>
              <w:t>检验结果</w:t>
            </w:r>
          </w:p>
        </w:tc>
        <w:tc>
          <w:tcPr>
            <w:tcW w:w="1145" w:type="dxa"/>
            <w:vAlign w:val="center"/>
          </w:tcPr>
          <w:p>
            <w:pPr>
              <w:jc w:val="center"/>
              <w:rPr>
                <w:rFonts w:eastAsia="仿宋"/>
                <w:color w:val="auto"/>
                <w:szCs w:val="21"/>
                <w:highlight w:val="none"/>
              </w:rPr>
            </w:pPr>
            <w:r>
              <w:rPr>
                <w:rFonts w:eastAsia="仿宋"/>
                <w:color w:val="auto"/>
                <w:spacing w:val="-1"/>
                <w:szCs w:val="21"/>
                <w:highlight w:val="none"/>
              </w:rPr>
              <w:t>质量检查员</w:t>
            </w:r>
          </w:p>
        </w:tc>
        <w:tc>
          <w:tcPr>
            <w:tcW w:w="1567" w:type="dxa"/>
            <w:vAlign w:val="center"/>
          </w:tcPr>
          <w:p>
            <w:pPr>
              <w:jc w:val="center"/>
              <w:rPr>
                <w:rFonts w:eastAsia="仿宋"/>
                <w:color w:val="auto"/>
                <w:szCs w:val="21"/>
                <w:highlight w:val="none"/>
              </w:rPr>
            </w:pPr>
            <w:r>
              <w:rPr>
                <w:rFonts w:eastAsia="仿宋"/>
                <w:color w:val="auto"/>
                <w:spacing w:val="-1"/>
                <w:szCs w:val="21"/>
                <w:highlight w:val="none"/>
              </w:rPr>
              <w:t>质量复核人</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1702" w:hRule="atLeast"/>
          <w:jc w:val="center"/>
        </w:trPr>
        <w:tc>
          <w:tcPr>
            <w:tcW w:w="505" w:type="dxa"/>
            <w:vAlign w:val="center"/>
          </w:tcPr>
          <w:p>
            <w:pPr>
              <w:pStyle w:val="79"/>
              <w:jc w:val="center"/>
              <w:rPr>
                <w:rFonts w:eastAsia="仿宋"/>
                <w:color w:val="auto"/>
                <w:sz w:val="21"/>
                <w:szCs w:val="21"/>
                <w:highlight w:val="none"/>
              </w:rPr>
            </w:pPr>
            <w:r>
              <w:rPr>
                <w:rFonts w:eastAsia="仿宋"/>
                <w:color w:val="auto"/>
                <w:sz w:val="21"/>
                <w:szCs w:val="21"/>
                <w:highlight w:val="none"/>
              </w:rPr>
              <w:t>1</w:t>
            </w:r>
          </w:p>
        </w:tc>
        <w:tc>
          <w:tcPr>
            <w:tcW w:w="2861" w:type="dxa"/>
            <w:gridSpan w:val="3"/>
            <w:vAlign w:val="center"/>
          </w:tcPr>
          <w:p>
            <w:pPr>
              <w:jc w:val="center"/>
              <w:rPr>
                <w:rFonts w:eastAsia="仿宋"/>
                <w:color w:val="auto"/>
                <w:szCs w:val="21"/>
                <w:highlight w:val="none"/>
              </w:rPr>
            </w:pPr>
            <w:r>
              <w:rPr>
                <w:rFonts w:eastAsia="仿宋"/>
                <w:color w:val="auto"/>
                <w:spacing w:val="-4"/>
                <w:szCs w:val="21"/>
                <w:highlight w:val="none"/>
              </w:rPr>
              <w:t>原材料检验</w:t>
            </w:r>
          </w:p>
        </w:tc>
        <w:tc>
          <w:tcPr>
            <w:tcW w:w="1468" w:type="dxa"/>
            <w:vAlign w:val="center"/>
          </w:tcPr>
          <w:p>
            <w:pPr>
              <w:jc w:val="center"/>
              <w:rPr>
                <w:rFonts w:eastAsia="仿宋"/>
                <w:color w:val="auto"/>
                <w:szCs w:val="21"/>
                <w:highlight w:val="none"/>
              </w:rPr>
            </w:pPr>
          </w:p>
        </w:tc>
        <w:tc>
          <w:tcPr>
            <w:tcW w:w="2290" w:type="dxa"/>
            <w:gridSpan w:val="3"/>
            <w:vAlign w:val="center"/>
          </w:tcPr>
          <w:p>
            <w:pPr>
              <w:jc w:val="center"/>
              <w:rPr>
                <w:rFonts w:eastAsia="仿宋"/>
                <w:color w:val="auto"/>
                <w:szCs w:val="21"/>
                <w:highlight w:val="none"/>
              </w:rPr>
            </w:pPr>
          </w:p>
        </w:tc>
        <w:tc>
          <w:tcPr>
            <w:tcW w:w="1145" w:type="dxa"/>
            <w:vAlign w:val="center"/>
          </w:tcPr>
          <w:p>
            <w:pPr>
              <w:jc w:val="center"/>
              <w:rPr>
                <w:rFonts w:eastAsia="仿宋"/>
                <w:color w:val="auto"/>
                <w:szCs w:val="21"/>
                <w:highlight w:val="none"/>
              </w:rPr>
            </w:pPr>
          </w:p>
        </w:tc>
        <w:tc>
          <w:tcPr>
            <w:tcW w:w="1567" w:type="dxa"/>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1702" w:hRule="atLeast"/>
          <w:jc w:val="center"/>
        </w:trPr>
        <w:tc>
          <w:tcPr>
            <w:tcW w:w="505" w:type="dxa"/>
            <w:vAlign w:val="center"/>
          </w:tcPr>
          <w:p>
            <w:pPr>
              <w:pStyle w:val="79"/>
              <w:jc w:val="center"/>
              <w:rPr>
                <w:rFonts w:eastAsia="仿宋"/>
                <w:color w:val="auto"/>
                <w:sz w:val="21"/>
                <w:szCs w:val="21"/>
                <w:highlight w:val="none"/>
              </w:rPr>
            </w:pPr>
            <w:r>
              <w:rPr>
                <w:rFonts w:eastAsia="仿宋"/>
                <w:color w:val="auto"/>
                <w:sz w:val="21"/>
                <w:szCs w:val="21"/>
                <w:highlight w:val="none"/>
              </w:rPr>
              <w:t>2</w:t>
            </w:r>
          </w:p>
        </w:tc>
        <w:tc>
          <w:tcPr>
            <w:tcW w:w="2861" w:type="dxa"/>
            <w:gridSpan w:val="3"/>
            <w:vAlign w:val="center"/>
          </w:tcPr>
          <w:p>
            <w:pPr>
              <w:jc w:val="center"/>
              <w:rPr>
                <w:rFonts w:eastAsia="仿宋"/>
                <w:color w:val="auto"/>
                <w:szCs w:val="21"/>
                <w:highlight w:val="none"/>
              </w:rPr>
            </w:pPr>
            <w:r>
              <w:rPr>
                <w:rFonts w:eastAsia="仿宋"/>
                <w:color w:val="auto"/>
                <w:spacing w:val="-2"/>
                <w:szCs w:val="21"/>
                <w:highlight w:val="none"/>
              </w:rPr>
              <w:t>混凝土施工</w:t>
            </w:r>
          </w:p>
        </w:tc>
        <w:tc>
          <w:tcPr>
            <w:tcW w:w="1468" w:type="dxa"/>
            <w:vAlign w:val="center"/>
          </w:tcPr>
          <w:p>
            <w:pPr>
              <w:jc w:val="center"/>
              <w:rPr>
                <w:rFonts w:eastAsia="仿宋"/>
                <w:color w:val="auto"/>
                <w:szCs w:val="21"/>
                <w:highlight w:val="none"/>
              </w:rPr>
            </w:pPr>
          </w:p>
        </w:tc>
        <w:tc>
          <w:tcPr>
            <w:tcW w:w="2290" w:type="dxa"/>
            <w:gridSpan w:val="3"/>
            <w:vAlign w:val="center"/>
          </w:tcPr>
          <w:p>
            <w:pPr>
              <w:jc w:val="center"/>
              <w:rPr>
                <w:rFonts w:eastAsia="仿宋"/>
                <w:color w:val="auto"/>
                <w:szCs w:val="21"/>
                <w:highlight w:val="none"/>
              </w:rPr>
            </w:pPr>
          </w:p>
        </w:tc>
        <w:tc>
          <w:tcPr>
            <w:tcW w:w="1145" w:type="dxa"/>
            <w:vAlign w:val="center"/>
          </w:tcPr>
          <w:p>
            <w:pPr>
              <w:jc w:val="center"/>
              <w:rPr>
                <w:rFonts w:eastAsia="仿宋"/>
                <w:color w:val="auto"/>
                <w:szCs w:val="21"/>
                <w:highlight w:val="none"/>
              </w:rPr>
            </w:pPr>
          </w:p>
        </w:tc>
        <w:tc>
          <w:tcPr>
            <w:tcW w:w="1567" w:type="dxa"/>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1702" w:hRule="atLeast"/>
          <w:jc w:val="center"/>
        </w:trPr>
        <w:tc>
          <w:tcPr>
            <w:tcW w:w="505" w:type="dxa"/>
            <w:vAlign w:val="center"/>
          </w:tcPr>
          <w:p>
            <w:pPr>
              <w:pStyle w:val="79"/>
              <w:jc w:val="center"/>
              <w:rPr>
                <w:rFonts w:eastAsia="仿宋"/>
                <w:color w:val="auto"/>
                <w:sz w:val="21"/>
                <w:szCs w:val="21"/>
                <w:highlight w:val="none"/>
              </w:rPr>
            </w:pPr>
            <w:r>
              <w:rPr>
                <w:rFonts w:eastAsia="仿宋"/>
                <w:color w:val="auto"/>
                <w:sz w:val="21"/>
                <w:szCs w:val="21"/>
                <w:highlight w:val="none"/>
              </w:rPr>
              <w:t>3</w:t>
            </w:r>
          </w:p>
        </w:tc>
        <w:tc>
          <w:tcPr>
            <w:tcW w:w="2861" w:type="dxa"/>
            <w:gridSpan w:val="3"/>
            <w:vAlign w:val="center"/>
          </w:tcPr>
          <w:p>
            <w:pPr>
              <w:jc w:val="center"/>
              <w:rPr>
                <w:rFonts w:eastAsia="仿宋"/>
                <w:color w:val="auto"/>
                <w:szCs w:val="21"/>
                <w:highlight w:val="none"/>
              </w:rPr>
            </w:pPr>
            <w:r>
              <w:rPr>
                <w:rFonts w:eastAsia="仿宋"/>
                <w:color w:val="auto"/>
                <w:spacing w:val="-4"/>
                <w:szCs w:val="21"/>
                <w:highlight w:val="none"/>
              </w:rPr>
              <w:t>淋水试验</w:t>
            </w:r>
          </w:p>
        </w:tc>
        <w:tc>
          <w:tcPr>
            <w:tcW w:w="1468" w:type="dxa"/>
            <w:vAlign w:val="center"/>
          </w:tcPr>
          <w:p>
            <w:pPr>
              <w:jc w:val="center"/>
              <w:rPr>
                <w:rFonts w:eastAsia="仿宋"/>
                <w:color w:val="auto"/>
                <w:szCs w:val="21"/>
                <w:highlight w:val="none"/>
              </w:rPr>
            </w:pPr>
          </w:p>
        </w:tc>
        <w:tc>
          <w:tcPr>
            <w:tcW w:w="2290" w:type="dxa"/>
            <w:gridSpan w:val="3"/>
            <w:vAlign w:val="center"/>
          </w:tcPr>
          <w:p>
            <w:pPr>
              <w:jc w:val="center"/>
              <w:rPr>
                <w:rFonts w:eastAsia="仿宋"/>
                <w:color w:val="auto"/>
                <w:szCs w:val="21"/>
                <w:highlight w:val="none"/>
              </w:rPr>
            </w:pPr>
          </w:p>
        </w:tc>
        <w:tc>
          <w:tcPr>
            <w:tcW w:w="1145" w:type="dxa"/>
            <w:vAlign w:val="center"/>
          </w:tcPr>
          <w:p>
            <w:pPr>
              <w:jc w:val="center"/>
              <w:rPr>
                <w:rFonts w:eastAsia="仿宋"/>
                <w:color w:val="auto"/>
                <w:szCs w:val="21"/>
                <w:highlight w:val="none"/>
              </w:rPr>
            </w:pPr>
          </w:p>
        </w:tc>
        <w:tc>
          <w:tcPr>
            <w:tcW w:w="1567" w:type="dxa"/>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1702" w:hRule="atLeast"/>
          <w:jc w:val="center"/>
        </w:trPr>
        <w:tc>
          <w:tcPr>
            <w:tcW w:w="505" w:type="dxa"/>
            <w:vAlign w:val="center"/>
          </w:tcPr>
          <w:p>
            <w:pPr>
              <w:pStyle w:val="79"/>
              <w:jc w:val="center"/>
              <w:rPr>
                <w:rFonts w:eastAsia="仿宋"/>
                <w:color w:val="auto"/>
                <w:sz w:val="21"/>
                <w:szCs w:val="21"/>
                <w:highlight w:val="none"/>
              </w:rPr>
            </w:pPr>
            <w:r>
              <w:rPr>
                <w:rFonts w:eastAsia="仿宋"/>
                <w:color w:val="auto"/>
                <w:sz w:val="21"/>
                <w:szCs w:val="21"/>
                <w:highlight w:val="none"/>
              </w:rPr>
              <w:t>4</w:t>
            </w:r>
          </w:p>
        </w:tc>
        <w:tc>
          <w:tcPr>
            <w:tcW w:w="2861" w:type="dxa"/>
            <w:gridSpan w:val="3"/>
            <w:vAlign w:val="center"/>
          </w:tcPr>
          <w:p>
            <w:pPr>
              <w:jc w:val="center"/>
              <w:rPr>
                <w:rFonts w:eastAsia="仿宋"/>
                <w:color w:val="auto"/>
                <w:szCs w:val="21"/>
                <w:highlight w:val="none"/>
              </w:rPr>
            </w:pPr>
            <w:r>
              <w:rPr>
                <w:rFonts w:eastAsia="仿宋"/>
                <w:color w:val="auto"/>
                <w:spacing w:val="-2"/>
                <w:szCs w:val="21"/>
                <w:highlight w:val="none"/>
              </w:rPr>
              <w:t>成品质量检测</w:t>
            </w:r>
          </w:p>
        </w:tc>
        <w:tc>
          <w:tcPr>
            <w:tcW w:w="1468" w:type="dxa"/>
            <w:vAlign w:val="center"/>
          </w:tcPr>
          <w:p>
            <w:pPr>
              <w:jc w:val="center"/>
              <w:rPr>
                <w:rFonts w:eastAsia="仿宋"/>
                <w:color w:val="auto"/>
                <w:szCs w:val="21"/>
                <w:highlight w:val="none"/>
              </w:rPr>
            </w:pPr>
          </w:p>
        </w:tc>
        <w:tc>
          <w:tcPr>
            <w:tcW w:w="2290" w:type="dxa"/>
            <w:gridSpan w:val="3"/>
            <w:vAlign w:val="center"/>
          </w:tcPr>
          <w:p>
            <w:pPr>
              <w:jc w:val="center"/>
              <w:rPr>
                <w:rFonts w:eastAsia="仿宋"/>
                <w:color w:val="auto"/>
                <w:szCs w:val="21"/>
                <w:highlight w:val="none"/>
              </w:rPr>
            </w:pPr>
          </w:p>
        </w:tc>
        <w:tc>
          <w:tcPr>
            <w:tcW w:w="1145" w:type="dxa"/>
            <w:vAlign w:val="center"/>
          </w:tcPr>
          <w:p>
            <w:pPr>
              <w:jc w:val="center"/>
              <w:rPr>
                <w:rFonts w:eastAsia="仿宋"/>
                <w:color w:val="auto"/>
                <w:szCs w:val="21"/>
                <w:highlight w:val="none"/>
              </w:rPr>
            </w:pPr>
          </w:p>
        </w:tc>
        <w:tc>
          <w:tcPr>
            <w:tcW w:w="1567" w:type="dxa"/>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1702" w:hRule="atLeast"/>
          <w:jc w:val="center"/>
        </w:trPr>
        <w:tc>
          <w:tcPr>
            <w:tcW w:w="3278" w:type="dxa"/>
            <w:gridSpan w:val="3"/>
            <w:vAlign w:val="center"/>
          </w:tcPr>
          <w:p>
            <w:pPr>
              <w:spacing w:before="58" w:line="219" w:lineRule="auto"/>
              <w:rPr>
                <w:rFonts w:eastAsia="仿宋"/>
                <w:color w:val="auto"/>
                <w:szCs w:val="21"/>
                <w:highlight w:val="none"/>
              </w:rPr>
            </w:pPr>
            <w:r>
              <w:rPr>
                <w:rFonts w:hint="eastAsia" w:eastAsia="仿宋"/>
                <w:color w:val="auto"/>
                <w:spacing w:val="-3"/>
                <w:szCs w:val="21"/>
                <w:highlight w:val="none"/>
              </w:rPr>
              <w:t>模块制作</w:t>
            </w:r>
            <w:r>
              <w:rPr>
                <w:rFonts w:eastAsia="仿宋"/>
                <w:color w:val="auto"/>
                <w:spacing w:val="-3"/>
                <w:szCs w:val="21"/>
                <w:highlight w:val="none"/>
              </w:rPr>
              <w:t>单位</w:t>
            </w:r>
          </w:p>
          <w:p>
            <w:pPr>
              <w:spacing w:before="117" w:line="219" w:lineRule="auto"/>
              <w:rPr>
                <w:rFonts w:eastAsia="仿宋"/>
                <w:color w:val="auto"/>
                <w:spacing w:val="-2"/>
                <w:szCs w:val="21"/>
                <w:highlight w:val="none"/>
              </w:rPr>
            </w:pPr>
            <w:r>
              <w:rPr>
                <w:rFonts w:eastAsia="仿宋"/>
                <w:color w:val="auto"/>
                <w:spacing w:val="-2"/>
                <w:szCs w:val="21"/>
                <w:highlight w:val="none"/>
              </w:rPr>
              <w:t>项目负责人：</w:t>
            </w:r>
          </w:p>
          <w:p>
            <w:pPr>
              <w:jc w:val="center"/>
              <w:rPr>
                <w:rFonts w:eastAsia="仿宋"/>
                <w:color w:val="auto"/>
                <w:szCs w:val="21"/>
                <w:highlight w:val="none"/>
              </w:rPr>
            </w:pPr>
            <w:r>
              <w:rPr>
                <w:rFonts w:eastAsia="仿宋"/>
                <w:color w:val="auto"/>
                <w:spacing w:val="-7"/>
                <w:szCs w:val="21"/>
                <w:highlight w:val="none"/>
              </w:rPr>
              <w:t>年</w:t>
            </w:r>
            <w:r>
              <w:rPr>
                <w:rFonts w:eastAsia="仿宋"/>
                <w:color w:val="auto"/>
                <w:spacing w:val="3"/>
                <w:szCs w:val="21"/>
                <w:highlight w:val="none"/>
              </w:rPr>
              <w:t xml:space="preserve">    </w:t>
            </w:r>
            <w:r>
              <w:rPr>
                <w:rFonts w:eastAsia="仿宋"/>
                <w:color w:val="auto"/>
                <w:spacing w:val="-7"/>
                <w:szCs w:val="21"/>
                <w:highlight w:val="none"/>
              </w:rPr>
              <w:t>月</w:t>
            </w:r>
            <w:r>
              <w:rPr>
                <w:rFonts w:eastAsia="仿宋"/>
                <w:color w:val="auto"/>
                <w:spacing w:val="9"/>
                <w:szCs w:val="21"/>
                <w:highlight w:val="none"/>
              </w:rPr>
              <w:t xml:space="preserve">    </w:t>
            </w:r>
            <w:r>
              <w:rPr>
                <w:rFonts w:eastAsia="仿宋"/>
                <w:color w:val="auto"/>
                <w:spacing w:val="-7"/>
                <w:szCs w:val="21"/>
                <w:highlight w:val="none"/>
              </w:rPr>
              <w:t>日</w:t>
            </w:r>
          </w:p>
        </w:tc>
        <w:tc>
          <w:tcPr>
            <w:tcW w:w="3279" w:type="dxa"/>
            <w:gridSpan w:val="4"/>
            <w:vAlign w:val="center"/>
          </w:tcPr>
          <w:p>
            <w:pPr>
              <w:spacing w:before="58" w:line="219" w:lineRule="auto"/>
              <w:rPr>
                <w:rFonts w:eastAsia="仿宋"/>
                <w:color w:val="auto"/>
                <w:szCs w:val="21"/>
                <w:highlight w:val="none"/>
              </w:rPr>
            </w:pPr>
            <w:r>
              <w:rPr>
                <w:rFonts w:hint="eastAsia" w:eastAsia="仿宋"/>
                <w:color w:val="auto"/>
                <w:spacing w:val="-3"/>
                <w:szCs w:val="21"/>
                <w:highlight w:val="none"/>
              </w:rPr>
              <w:t>施工</w:t>
            </w:r>
            <w:r>
              <w:rPr>
                <w:rFonts w:eastAsia="仿宋"/>
                <w:color w:val="auto"/>
                <w:spacing w:val="-3"/>
                <w:szCs w:val="21"/>
                <w:highlight w:val="none"/>
              </w:rPr>
              <w:t>单位</w:t>
            </w:r>
          </w:p>
          <w:p>
            <w:pPr>
              <w:spacing w:before="117" w:line="219" w:lineRule="auto"/>
              <w:rPr>
                <w:rFonts w:eastAsia="仿宋"/>
                <w:color w:val="auto"/>
                <w:spacing w:val="-2"/>
                <w:szCs w:val="21"/>
                <w:highlight w:val="none"/>
              </w:rPr>
            </w:pPr>
            <w:r>
              <w:rPr>
                <w:rFonts w:eastAsia="仿宋"/>
                <w:color w:val="auto"/>
                <w:spacing w:val="-2"/>
                <w:szCs w:val="21"/>
                <w:highlight w:val="none"/>
              </w:rPr>
              <w:t>项目负责人：</w:t>
            </w:r>
          </w:p>
          <w:p>
            <w:pPr>
              <w:jc w:val="center"/>
              <w:rPr>
                <w:rFonts w:eastAsia="仿宋"/>
                <w:color w:val="auto"/>
                <w:szCs w:val="21"/>
                <w:highlight w:val="none"/>
              </w:rPr>
            </w:pPr>
            <w:r>
              <w:rPr>
                <w:rFonts w:eastAsia="仿宋"/>
                <w:color w:val="auto"/>
                <w:spacing w:val="-7"/>
                <w:szCs w:val="21"/>
                <w:highlight w:val="none"/>
              </w:rPr>
              <w:t>年</w:t>
            </w:r>
            <w:r>
              <w:rPr>
                <w:rFonts w:eastAsia="仿宋"/>
                <w:color w:val="auto"/>
                <w:spacing w:val="3"/>
                <w:szCs w:val="21"/>
                <w:highlight w:val="none"/>
              </w:rPr>
              <w:t xml:space="preserve">    </w:t>
            </w:r>
            <w:r>
              <w:rPr>
                <w:rFonts w:eastAsia="仿宋"/>
                <w:color w:val="auto"/>
                <w:spacing w:val="-7"/>
                <w:szCs w:val="21"/>
                <w:highlight w:val="none"/>
              </w:rPr>
              <w:t>月</w:t>
            </w:r>
            <w:r>
              <w:rPr>
                <w:rFonts w:eastAsia="仿宋"/>
                <w:color w:val="auto"/>
                <w:spacing w:val="9"/>
                <w:szCs w:val="21"/>
                <w:highlight w:val="none"/>
              </w:rPr>
              <w:t xml:space="preserve">    </w:t>
            </w:r>
            <w:r>
              <w:rPr>
                <w:rFonts w:eastAsia="仿宋"/>
                <w:color w:val="auto"/>
                <w:spacing w:val="-7"/>
                <w:szCs w:val="21"/>
                <w:highlight w:val="none"/>
              </w:rPr>
              <w:t>日</w:t>
            </w:r>
          </w:p>
        </w:tc>
        <w:tc>
          <w:tcPr>
            <w:tcW w:w="3279" w:type="dxa"/>
            <w:gridSpan w:val="3"/>
            <w:vAlign w:val="center"/>
          </w:tcPr>
          <w:p>
            <w:pPr>
              <w:spacing w:before="58" w:line="219" w:lineRule="auto"/>
              <w:rPr>
                <w:rFonts w:eastAsia="仿宋"/>
                <w:color w:val="auto"/>
                <w:szCs w:val="21"/>
                <w:highlight w:val="none"/>
              </w:rPr>
            </w:pPr>
            <w:r>
              <w:rPr>
                <w:rFonts w:hint="eastAsia" w:eastAsia="仿宋"/>
                <w:color w:val="auto"/>
                <w:spacing w:val="-3"/>
                <w:szCs w:val="21"/>
                <w:highlight w:val="none"/>
              </w:rPr>
              <w:t>监理</w:t>
            </w:r>
            <w:r>
              <w:rPr>
                <w:rFonts w:eastAsia="仿宋"/>
                <w:color w:val="auto"/>
                <w:spacing w:val="-3"/>
                <w:szCs w:val="21"/>
                <w:highlight w:val="none"/>
              </w:rPr>
              <w:t>单位</w:t>
            </w:r>
          </w:p>
          <w:p>
            <w:pPr>
              <w:spacing w:before="117" w:line="219" w:lineRule="auto"/>
              <w:rPr>
                <w:rFonts w:eastAsia="仿宋"/>
                <w:color w:val="auto"/>
                <w:spacing w:val="-2"/>
                <w:szCs w:val="21"/>
                <w:highlight w:val="none"/>
              </w:rPr>
            </w:pPr>
            <w:r>
              <w:rPr>
                <w:rFonts w:hint="eastAsia" w:eastAsia="仿宋"/>
                <w:color w:val="auto"/>
                <w:spacing w:val="-2"/>
                <w:szCs w:val="21"/>
                <w:highlight w:val="none"/>
              </w:rPr>
              <w:t>专业监理工程师</w:t>
            </w:r>
            <w:r>
              <w:rPr>
                <w:rFonts w:eastAsia="仿宋"/>
                <w:color w:val="auto"/>
                <w:spacing w:val="-2"/>
                <w:szCs w:val="21"/>
                <w:highlight w:val="none"/>
              </w:rPr>
              <w:t>：</w:t>
            </w:r>
          </w:p>
          <w:p>
            <w:pPr>
              <w:jc w:val="center"/>
              <w:rPr>
                <w:rFonts w:eastAsia="仿宋"/>
                <w:color w:val="auto"/>
                <w:szCs w:val="21"/>
                <w:highlight w:val="none"/>
              </w:rPr>
            </w:pPr>
            <w:r>
              <w:rPr>
                <w:rFonts w:eastAsia="仿宋"/>
                <w:color w:val="auto"/>
                <w:spacing w:val="-7"/>
                <w:szCs w:val="21"/>
                <w:highlight w:val="none"/>
              </w:rPr>
              <w:t>年</w:t>
            </w:r>
            <w:r>
              <w:rPr>
                <w:rFonts w:eastAsia="仿宋"/>
                <w:color w:val="auto"/>
                <w:spacing w:val="3"/>
                <w:szCs w:val="21"/>
                <w:highlight w:val="none"/>
              </w:rPr>
              <w:t xml:space="preserve">    </w:t>
            </w:r>
            <w:r>
              <w:rPr>
                <w:rFonts w:eastAsia="仿宋"/>
                <w:color w:val="auto"/>
                <w:spacing w:val="-7"/>
                <w:szCs w:val="21"/>
                <w:highlight w:val="none"/>
              </w:rPr>
              <w:t>月</w:t>
            </w:r>
            <w:r>
              <w:rPr>
                <w:rFonts w:eastAsia="仿宋"/>
                <w:color w:val="auto"/>
                <w:spacing w:val="9"/>
                <w:szCs w:val="21"/>
                <w:highlight w:val="none"/>
              </w:rPr>
              <w:t xml:space="preserve">    </w:t>
            </w:r>
            <w:r>
              <w:rPr>
                <w:rFonts w:eastAsia="仿宋"/>
                <w:color w:val="auto"/>
                <w:spacing w:val="-7"/>
                <w:szCs w:val="21"/>
                <w:highlight w:val="none"/>
              </w:rPr>
              <w:t>日</w:t>
            </w:r>
          </w:p>
        </w:tc>
      </w:tr>
    </w:tbl>
    <w:p>
      <w:pPr>
        <w:outlineLvl w:val="1"/>
        <w:rPr>
          <w:bCs/>
          <w:color w:val="auto"/>
          <w:highlight w:val="none"/>
        </w:rPr>
        <w:sectPr>
          <w:pgSz w:w="11906" w:h="16838"/>
          <w:pgMar w:top="1610" w:right="1349" w:bottom="1213" w:left="1293" w:header="851" w:footer="992" w:gutter="0"/>
          <w:cols w:space="720" w:num="1"/>
          <w:docGrid w:type="linesAndChars" w:linePitch="333" w:charSpace="2165"/>
        </w:sectPr>
      </w:pPr>
    </w:p>
    <w:p>
      <w:pPr>
        <w:pStyle w:val="4"/>
        <w:jc w:val="center"/>
        <w:rPr>
          <w:rFonts w:hint="eastAsia"/>
          <w:color w:val="auto"/>
          <w:sz w:val="21"/>
          <w:szCs w:val="32"/>
          <w:highlight w:val="none"/>
        </w:rPr>
      </w:pPr>
      <w:bookmarkStart w:id="1696" w:name="_Toc26844"/>
      <w:r>
        <w:rPr>
          <w:rFonts w:hint="eastAsia"/>
          <w:b w:val="0"/>
          <w:bCs/>
          <w:color w:val="auto"/>
          <w:sz w:val="21"/>
          <w:szCs w:val="32"/>
          <w:highlight w:val="none"/>
        </w:rPr>
        <w:t>A</w:t>
      </w:r>
      <w:r>
        <w:rPr>
          <w:rFonts w:hint="eastAsia" w:ascii="Times New Roman" w:hAnsi="Times New Roman" w:eastAsia="黑体" w:cs="Times New Roman"/>
          <w:b w:val="0"/>
          <w:bCs/>
          <w:color w:val="auto"/>
          <w:sz w:val="21"/>
          <w:szCs w:val="32"/>
          <w:highlight w:val="none"/>
        </w:rPr>
        <w:t>.0.</w:t>
      </w:r>
      <w:r>
        <w:rPr>
          <w:rFonts w:hint="eastAsia"/>
          <w:b w:val="0"/>
          <w:bCs/>
          <w:color w:val="auto"/>
          <w:sz w:val="21"/>
          <w:szCs w:val="32"/>
          <w:highlight w:val="none"/>
        </w:rPr>
        <w:t xml:space="preserve">5  </w:t>
      </w:r>
      <w:r>
        <w:rPr>
          <w:rFonts w:hint="eastAsia"/>
          <w:color w:val="auto"/>
          <w:sz w:val="21"/>
          <w:szCs w:val="32"/>
          <w:highlight w:val="none"/>
        </w:rPr>
        <w:t>模块单元装饰与装修质量验收记录表</w:t>
      </w:r>
      <w:bookmarkEnd w:id="1696"/>
    </w:p>
    <w:p>
      <w:pPr>
        <w:autoSpaceDE w:val="0"/>
        <w:autoSpaceDN w:val="0"/>
        <w:adjustRightInd w:val="0"/>
        <w:ind w:left="190"/>
        <w:jc w:val="center"/>
        <w:rPr>
          <w:rFonts w:eastAsia="仿宋"/>
          <w:b/>
          <w:bCs/>
          <w:color w:val="auto"/>
          <w:spacing w:val="0"/>
          <w:kern w:val="0"/>
          <w:szCs w:val="24"/>
          <w:highlight w:val="none"/>
        </w:rPr>
      </w:pPr>
      <w:r>
        <w:rPr>
          <w:rFonts w:eastAsia="仿宋"/>
          <w:b/>
          <w:bCs/>
          <w:color w:val="auto"/>
          <w:spacing w:val="0"/>
          <w:kern w:val="0"/>
          <w:szCs w:val="24"/>
          <w:highlight w:val="none"/>
        </w:rPr>
        <w:t>表A</w:t>
      </w:r>
      <w:r>
        <w:rPr>
          <w:rFonts w:hint="default" w:ascii="Times New Roman" w:hAnsi="Times New Roman" w:eastAsia="仿宋" w:cs="Times New Roman"/>
          <w:b/>
          <w:bCs/>
          <w:color w:val="auto"/>
          <w:spacing w:val="0"/>
          <w:kern w:val="0"/>
          <w:szCs w:val="24"/>
          <w:highlight w:val="none"/>
        </w:rPr>
        <w:t>.0.</w:t>
      </w:r>
      <w:r>
        <w:rPr>
          <w:rFonts w:eastAsia="仿宋"/>
          <w:b/>
          <w:bCs/>
          <w:color w:val="auto"/>
          <w:spacing w:val="0"/>
          <w:kern w:val="0"/>
          <w:szCs w:val="24"/>
          <w:highlight w:val="none"/>
        </w:rPr>
        <w:t>5  模块单元装饰与装修质量验收记录表</w:t>
      </w:r>
    </w:p>
    <w:p>
      <w:pPr>
        <w:spacing w:line="39" w:lineRule="exact"/>
        <w:rPr>
          <w:color w:val="auto"/>
          <w:highlight w:val="none"/>
        </w:rPr>
      </w:pPr>
    </w:p>
    <w:tbl>
      <w:tblPr>
        <w:tblStyle w:val="24"/>
        <w:tblW w:w="10117" w:type="dxa"/>
        <w:jc w:val="center"/>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fixed"/>
        <w:tblCellMar>
          <w:top w:w="0" w:type="dxa"/>
          <w:left w:w="0" w:type="dxa"/>
          <w:bottom w:w="0" w:type="dxa"/>
          <w:right w:w="0" w:type="dxa"/>
        </w:tblCellMar>
      </w:tblPr>
      <w:tblGrid>
        <w:gridCol w:w="605"/>
        <w:gridCol w:w="1915"/>
        <w:gridCol w:w="852"/>
        <w:gridCol w:w="416"/>
        <w:gridCol w:w="1387"/>
        <w:gridCol w:w="1231"/>
        <w:gridCol w:w="338"/>
        <w:gridCol w:w="892"/>
        <w:gridCol w:w="1230"/>
        <w:gridCol w:w="1251"/>
      </w:tblGrid>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75" w:hRule="atLeast"/>
          <w:jc w:val="center"/>
        </w:trPr>
        <w:tc>
          <w:tcPr>
            <w:tcW w:w="2520" w:type="dxa"/>
            <w:gridSpan w:val="2"/>
            <w:vAlign w:val="center"/>
          </w:tcPr>
          <w:p>
            <w:pPr>
              <w:jc w:val="center"/>
              <w:rPr>
                <w:rFonts w:eastAsia="仿宋"/>
                <w:color w:val="auto"/>
                <w:szCs w:val="21"/>
                <w:highlight w:val="none"/>
              </w:rPr>
            </w:pPr>
            <w:r>
              <w:rPr>
                <w:rFonts w:eastAsia="仿宋"/>
                <w:color w:val="auto"/>
                <w:spacing w:val="3"/>
                <w:szCs w:val="21"/>
                <w:highlight w:val="none"/>
              </w:rPr>
              <w:t>工程名称</w:t>
            </w:r>
          </w:p>
        </w:tc>
        <w:tc>
          <w:tcPr>
            <w:tcW w:w="7597" w:type="dxa"/>
            <w:gridSpan w:val="8"/>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520" w:type="dxa"/>
            <w:gridSpan w:val="2"/>
            <w:vAlign w:val="center"/>
          </w:tcPr>
          <w:p>
            <w:pPr>
              <w:jc w:val="center"/>
              <w:rPr>
                <w:rFonts w:eastAsia="仿宋"/>
                <w:color w:val="auto"/>
                <w:szCs w:val="21"/>
                <w:highlight w:val="none"/>
              </w:rPr>
            </w:pPr>
            <w:r>
              <w:rPr>
                <w:rFonts w:eastAsia="仿宋"/>
                <w:color w:val="auto"/>
                <w:spacing w:val="7"/>
                <w:szCs w:val="21"/>
                <w:highlight w:val="none"/>
              </w:rPr>
              <w:t>模块单元编号</w:t>
            </w:r>
          </w:p>
        </w:tc>
        <w:tc>
          <w:tcPr>
            <w:tcW w:w="3886" w:type="dxa"/>
            <w:gridSpan w:val="4"/>
            <w:vAlign w:val="center"/>
          </w:tcPr>
          <w:p>
            <w:pPr>
              <w:jc w:val="center"/>
              <w:rPr>
                <w:rFonts w:eastAsia="仿宋"/>
                <w:color w:val="auto"/>
                <w:szCs w:val="21"/>
                <w:highlight w:val="none"/>
              </w:rPr>
            </w:pPr>
          </w:p>
        </w:tc>
        <w:tc>
          <w:tcPr>
            <w:tcW w:w="1230" w:type="dxa"/>
            <w:gridSpan w:val="2"/>
            <w:vAlign w:val="center"/>
          </w:tcPr>
          <w:p>
            <w:pPr>
              <w:jc w:val="center"/>
              <w:rPr>
                <w:rFonts w:eastAsia="仿宋"/>
                <w:color w:val="auto"/>
                <w:szCs w:val="21"/>
                <w:highlight w:val="none"/>
              </w:rPr>
            </w:pPr>
            <w:r>
              <w:rPr>
                <w:rFonts w:eastAsia="仿宋"/>
                <w:color w:val="auto"/>
                <w:spacing w:val="5"/>
                <w:szCs w:val="21"/>
                <w:highlight w:val="none"/>
              </w:rPr>
              <w:t>产品编号</w:t>
            </w:r>
          </w:p>
        </w:tc>
        <w:tc>
          <w:tcPr>
            <w:tcW w:w="2481" w:type="dxa"/>
            <w:gridSpan w:val="2"/>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520" w:type="dxa"/>
            <w:gridSpan w:val="2"/>
            <w:vAlign w:val="center"/>
          </w:tcPr>
          <w:p>
            <w:pPr>
              <w:jc w:val="center"/>
              <w:rPr>
                <w:rFonts w:eastAsia="仿宋"/>
                <w:color w:val="auto"/>
                <w:szCs w:val="21"/>
                <w:highlight w:val="none"/>
              </w:rPr>
            </w:pPr>
            <w:r>
              <w:rPr>
                <w:rFonts w:eastAsia="仿宋"/>
                <w:color w:val="auto"/>
                <w:spacing w:val="5"/>
                <w:szCs w:val="21"/>
                <w:highlight w:val="none"/>
              </w:rPr>
              <w:t>制造批次</w:t>
            </w:r>
          </w:p>
        </w:tc>
        <w:tc>
          <w:tcPr>
            <w:tcW w:w="3886" w:type="dxa"/>
            <w:gridSpan w:val="4"/>
            <w:vAlign w:val="center"/>
          </w:tcPr>
          <w:p>
            <w:pPr>
              <w:jc w:val="center"/>
              <w:rPr>
                <w:rFonts w:eastAsia="仿宋"/>
                <w:color w:val="auto"/>
                <w:szCs w:val="21"/>
                <w:highlight w:val="none"/>
              </w:rPr>
            </w:pPr>
          </w:p>
        </w:tc>
        <w:tc>
          <w:tcPr>
            <w:tcW w:w="1230" w:type="dxa"/>
            <w:gridSpan w:val="2"/>
            <w:vAlign w:val="center"/>
          </w:tcPr>
          <w:p>
            <w:pPr>
              <w:jc w:val="center"/>
              <w:rPr>
                <w:rFonts w:eastAsia="仿宋"/>
                <w:color w:val="auto"/>
                <w:szCs w:val="21"/>
                <w:highlight w:val="none"/>
              </w:rPr>
            </w:pPr>
            <w:r>
              <w:rPr>
                <w:rFonts w:eastAsia="仿宋"/>
                <w:color w:val="auto"/>
                <w:spacing w:val="5"/>
                <w:szCs w:val="21"/>
                <w:highlight w:val="none"/>
              </w:rPr>
              <w:t>检查日期</w:t>
            </w:r>
          </w:p>
        </w:tc>
        <w:tc>
          <w:tcPr>
            <w:tcW w:w="2481" w:type="dxa"/>
            <w:gridSpan w:val="2"/>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3788" w:type="dxa"/>
            <w:gridSpan w:val="4"/>
            <w:vMerge w:val="restart"/>
            <w:tcBorders>
              <w:bottom w:val="nil"/>
            </w:tcBorders>
            <w:vAlign w:val="center"/>
          </w:tcPr>
          <w:p>
            <w:pPr>
              <w:jc w:val="center"/>
              <w:rPr>
                <w:rFonts w:eastAsia="仿宋"/>
                <w:color w:val="auto"/>
                <w:szCs w:val="21"/>
                <w:highlight w:val="none"/>
              </w:rPr>
            </w:pPr>
            <w:r>
              <w:rPr>
                <w:rFonts w:eastAsia="仿宋"/>
                <w:color w:val="auto"/>
                <w:spacing w:val="9"/>
                <w:szCs w:val="21"/>
                <w:highlight w:val="none"/>
              </w:rPr>
              <w:t>检查项目及内容</w:t>
            </w:r>
          </w:p>
        </w:tc>
        <w:tc>
          <w:tcPr>
            <w:tcW w:w="1387" w:type="dxa"/>
            <w:vMerge w:val="restart"/>
            <w:tcBorders>
              <w:bottom w:val="nil"/>
            </w:tcBorders>
            <w:vAlign w:val="center"/>
          </w:tcPr>
          <w:p>
            <w:pPr>
              <w:jc w:val="center"/>
              <w:rPr>
                <w:rFonts w:eastAsia="仿宋"/>
                <w:color w:val="auto"/>
                <w:szCs w:val="21"/>
                <w:highlight w:val="none"/>
              </w:rPr>
            </w:pPr>
            <w:r>
              <w:rPr>
                <w:rFonts w:eastAsia="仿宋"/>
                <w:color w:val="auto"/>
                <w:spacing w:val="6"/>
                <w:szCs w:val="21"/>
                <w:highlight w:val="none"/>
              </w:rPr>
              <w:t>设计要求及</w:t>
            </w:r>
            <w:r>
              <w:rPr>
                <w:rFonts w:eastAsia="仿宋"/>
                <w:color w:val="auto"/>
                <w:szCs w:val="21"/>
                <w:highlight w:val="none"/>
              </w:rPr>
              <w:t xml:space="preserve"> </w:t>
            </w:r>
            <w:r>
              <w:rPr>
                <w:rFonts w:eastAsia="仿宋"/>
                <w:color w:val="auto"/>
                <w:spacing w:val="5"/>
                <w:szCs w:val="21"/>
                <w:highlight w:val="none"/>
              </w:rPr>
              <w:t>规范规定</w:t>
            </w:r>
          </w:p>
        </w:tc>
        <w:tc>
          <w:tcPr>
            <w:tcW w:w="4942" w:type="dxa"/>
            <w:gridSpan w:val="5"/>
            <w:vAlign w:val="center"/>
          </w:tcPr>
          <w:p>
            <w:pPr>
              <w:jc w:val="center"/>
              <w:rPr>
                <w:rFonts w:eastAsia="仿宋"/>
                <w:color w:val="auto"/>
                <w:szCs w:val="21"/>
                <w:highlight w:val="none"/>
              </w:rPr>
            </w:pPr>
            <w:r>
              <w:rPr>
                <w:rFonts w:eastAsia="仿宋"/>
                <w:color w:val="auto"/>
                <w:spacing w:val="-2"/>
                <w:szCs w:val="21"/>
                <w:highlight w:val="none"/>
              </w:rPr>
              <w:t>检查</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3788" w:type="dxa"/>
            <w:gridSpan w:val="4"/>
            <w:vMerge w:val="continue"/>
            <w:tcBorders>
              <w:top w:val="nil"/>
            </w:tcBorders>
            <w:vAlign w:val="center"/>
          </w:tcPr>
          <w:p>
            <w:pPr>
              <w:jc w:val="center"/>
              <w:rPr>
                <w:rFonts w:eastAsia="仿宋"/>
                <w:color w:val="auto"/>
                <w:szCs w:val="21"/>
                <w:highlight w:val="none"/>
              </w:rPr>
            </w:pPr>
          </w:p>
        </w:tc>
        <w:tc>
          <w:tcPr>
            <w:tcW w:w="1387" w:type="dxa"/>
            <w:vMerge w:val="continue"/>
            <w:tcBorders>
              <w:top w:val="nil"/>
            </w:tcBorders>
            <w:vAlign w:val="center"/>
          </w:tcPr>
          <w:p>
            <w:pPr>
              <w:jc w:val="center"/>
              <w:rPr>
                <w:rFonts w:eastAsia="仿宋"/>
                <w:color w:val="auto"/>
                <w:szCs w:val="21"/>
                <w:highlight w:val="none"/>
              </w:rPr>
            </w:pPr>
          </w:p>
        </w:tc>
        <w:tc>
          <w:tcPr>
            <w:tcW w:w="2461" w:type="dxa"/>
            <w:gridSpan w:val="3"/>
            <w:vAlign w:val="center"/>
          </w:tcPr>
          <w:p>
            <w:pPr>
              <w:jc w:val="center"/>
              <w:rPr>
                <w:rFonts w:eastAsia="仿宋"/>
                <w:color w:val="auto"/>
                <w:szCs w:val="21"/>
                <w:highlight w:val="none"/>
              </w:rPr>
            </w:pPr>
            <w:r>
              <w:rPr>
                <w:rFonts w:hint="eastAsia" w:eastAsia="仿宋"/>
                <w:color w:val="auto"/>
                <w:spacing w:val="-2"/>
                <w:szCs w:val="21"/>
                <w:highlight w:val="none"/>
              </w:rPr>
              <w:t>检验结果</w:t>
            </w:r>
          </w:p>
        </w:tc>
        <w:tc>
          <w:tcPr>
            <w:tcW w:w="1230" w:type="dxa"/>
            <w:vAlign w:val="center"/>
          </w:tcPr>
          <w:p>
            <w:pPr>
              <w:jc w:val="center"/>
              <w:rPr>
                <w:rFonts w:eastAsia="仿宋"/>
                <w:color w:val="auto"/>
                <w:szCs w:val="21"/>
                <w:highlight w:val="none"/>
              </w:rPr>
            </w:pPr>
            <w:r>
              <w:rPr>
                <w:rFonts w:eastAsia="仿宋"/>
                <w:color w:val="auto"/>
                <w:spacing w:val="6"/>
                <w:szCs w:val="21"/>
                <w:highlight w:val="none"/>
              </w:rPr>
              <w:t>质量检查员</w:t>
            </w:r>
          </w:p>
        </w:tc>
        <w:tc>
          <w:tcPr>
            <w:tcW w:w="1251" w:type="dxa"/>
            <w:vAlign w:val="center"/>
          </w:tcPr>
          <w:p>
            <w:pPr>
              <w:jc w:val="center"/>
              <w:rPr>
                <w:rFonts w:eastAsia="仿宋"/>
                <w:color w:val="auto"/>
                <w:szCs w:val="21"/>
                <w:highlight w:val="none"/>
              </w:rPr>
            </w:pPr>
            <w:r>
              <w:rPr>
                <w:rFonts w:eastAsia="仿宋"/>
                <w:color w:val="auto"/>
                <w:spacing w:val="6"/>
                <w:szCs w:val="21"/>
                <w:highlight w:val="none"/>
              </w:rPr>
              <w:t>质量复核人</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10117" w:type="dxa"/>
            <w:gridSpan w:val="10"/>
            <w:vAlign w:val="center"/>
          </w:tcPr>
          <w:p>
            <w:pPr>
              <w:jc w:val="center"/>
              <w:rPr>
                <w:rFonts w:eastAsia="仿宋"/>
                <w:color w:val="auto"/>
                <w:szCs w:val="21"/>
                <w:highlight w:val="none"/>
              </w:rPr>
            </w:pPr>
            <w:r>
              <w:rPr>
                <w:rFonts w:eastAsia="仿宋"/>
                <w:color w:val="auto"/>
                <w:spacing w:val="9"/>
                <w:szCs w:val="21"/>
                <w:highlight w:val="none"/>
              </w:rPr>
              <w:t>轻质隔墙验收标准</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605" w:type="dxa"/>
            <w:vMerge w:val="restart"/>
            <w:tcBorders>
              <w:bottom w:val="nil"/>
            </w:tcBorders>
            <w:vAlign w:val="center"/>
          </w:tcPr>
          <w:p>
            <w:pPr>
              <w:pStyle w:val="79"/>
              <w:jc w:val="center"/>
              <w:rPr>
                <w:rFonts w:eastAsia="仿宋"/>
                <w:color w:val="auto"/>
                <w:sz w:val="21"/>
                <w:szCs w:val="21"/>
                <w:highlight w:val="none"/>
              </w:rPr>
            </w:pPr>
            <w:r>
              <w:rPr>
                <w:rFonts w:eastAsia="仿宋"/>
                <w:color w:val="auto"/>
                <w:sz w:val="21"/>
                <w:szCs w:val="21"/>
                <w:highlight w:val="none"/>
              </w:rPr>
              <w:t>1</w:t>
            </w:r>
          </w:p>
        </w:tc>
        <w:tc>
          <w:tcPr>
            <w:tcW w:w="3183" w:type="dxa"/>
            <w:gridSpan w:val="3"/>
            <w:vAlign w:val="center"/>
          </w:tcPr>
          <w:p>
            <w:pPr>
              <w:jc w:val="center"/>
              <w:rPr>
                <w:rFonts w:eastAsia="仿宋"/>
                <w:color w:val="auto"/>
                <w:szCs w:val="21"/>
                <w:highlight w:val="none"/>
              </w:rPr>
            </w:pPr>
            <w:r>
              <w:rPr>
                <w:rFonts w:eastAsia="仿宋"/>
                <w:color w:val="auto"/>
                <w:spacing w:val="5"/>
                <w:szCs w:val="21"/>
                <w:highlight w:val="none"/>
              </w:rPr>
              <w:t>原材料检验情况</w:t>
            </w:r>
          </w:p>
        </w:tc>
        <w:tc>
          <w:tcPr>
            <w:tcW w:w="1387" w:type="dxa"/>
            <w:vMerge w:val="restart"/>
            <w:tcBorders>
              <w:bottom w:val="nil"/>
            </w:tcBorders>
            <w:vAlign w:val="center"/>
          </w:tcPr>
          <w:p>
            <w:pPr>
              <w:jc w:val="center"/>
              <w:rPr>
                <w:rFonts w:eastAsia="仿宋"/>
                <w:color w:val="auto"/>
                <w:szCs w:val="21"/>
                <w:highlight w:val="none"/>
              </w:rPr>
            </w:pPr>
          </w:p>
        </w:tc>
        <w:tc>
          <w:tcPr>
            <w:tcW w:w="2461" w:type="dxa"/>
            <w:gridSpan w:val="3"/>
            <w:vAlign w:val="center"/>
          </w:tcPr>
          <w:p>
            <w:pPr>
              <w:jc w:val="center"/>
              <w:rPr>
                <w:rFonts w:eastAsia="仿宋"/>
                <w:color w:val="auto"/>
                <w:szCs w:val="21"/>
                <w:highlight w:val="none"/>
              </w:rPr>
            </w:pPr>
          </w:p>
        </w:tc>
        <w:tc>
          <w:tcPr>
            <w:tcW w:w="1230" w:type="dxa"/>
            <w:vAlign w:val="center"/>
          </w:tcPr>
          <w:p>
            <w:pPr>
              <w:jc w:val="center"/>
              <w:rPr>
                <w:rFonts w:eastAsia="仿宋"/>
                <w:color w:val="auto"/>
                <w:szCs w:val="21"/>
                <w:highlight w:val="none"/>
              </w:rPr>
            </w:pPr>
          </w:p>
        </w:tc>
        <w:tc>
          <w:tcPr>
            <w:tcW w:w="1251" w:type="dxa"/>
            <w:vMerge w:val="restart"/>
            <w:tcBorders>
              <w:bottom w:val="nil"/>
            </w:tcBorders>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605" w:type="dxa"/>
            <w:vMerge w:val="continue"/>
            <w:tcBorders>
              <w:top w:val="nil"/>
              <w:bottom w:val="nil"/>
            </w:tcBorders>
            <w:vAlign w:val="center"/>
          </w:tcPr>
          <w:p>
            <w:pPr>
              <w:jc w:val="center"/>
              <w:rPr>
                <w:rFonts w:eastAsia="仿宋"/>
                <w:color w:val="auto"/>
                <w:szCs w:val="21"/>
                <w:highlight w:val="none"/>
              </w:rPr>
            </w:pPr>
          </w:p>
        </w:tc>
        <w:tc>
          <w:tcPr>
            <w:tcW w:w="3183" w:type="dxa"/>
            <w:gridSpan w:val="3"/>
            <w:vAlign w:val="center"/>
          </w:tcPr>
          <w:p>
            <w:pPr>
              <w:jc w:val="center"/>
              <w:rPr>
                <w:rFonts w:eastAsia="仿宋"/>
                <w:color w:val="auto"/>
                <w:szCs w:val="21"/>
                <w:highlight w:val="none"/>
              </w:rPr>
            </w:pPr>
            <w:r>
              <w:rPr>
                <w:rFonts w:eastAsia="仿宋"/>
                <w:color w:val="auto"/>
                <w:spacing w:val="-2"/>
                <w:szCs w:val="21"/>
                <w:highlight w:val="none"/>
              </w:rPr>
              <w:t>隐蔽验收</w:t>
            </w:r>
          </w:p>
        </w:tc>
        <w:tc>
          <w:tcPr>
            <w:tcW w:w="1387" w:type="dxa"/>
            <w:vMerge w:val="continue"/>
            <w:tcBorders>
              <w:top w:val="nil"/>
              <w:bottom w:val="nil"/>
            </w:tcBorders>
            <w:vAlign w:val="center"/>
          </w:tcPr>
          <w:p>
            <w:pPr>
              <w:jc w:val="center"/>
              <w:rPr>
                <w:rFonts w:eastAsia="仿宋"/>
                <w:color w:val="auto"/>
                <w:szCs w:val="21"/>
                <w:highlight w:val="none"/>
              </w:rPr>
            </w:pPr>
          </w:p>
        </w:tc>
        <w:tc>
          <w:tcPr>
            <w:tcW w:w="2461" w:type="dxa"/>
            <w:gridSpan w:val="3"/>
            <w:vAlign w:val="center"/>
          </w:tcPr>
          <w:p>
            <w:pPr>
              <w:jc w:val="center"/>
              <w:rPr>
                <w:rFonts w:eastAsia="仿宋"/>
                <w:color w:val="auto"/>
                <w:szCs w:val="21"/>
                <w:highlight w:val="none"/>
              </w:rPr>
            </w:pPr>
          </w:p>
        </w:tc>
        <w:tc>
          <w:tcPr>
            <w:tcW w:w="1230" w:type="dxa"/>
            <w:vAlign w:val="center"/>
          </w:tcPr>
          <w:p>
            <w:pPr>
              <w:jc w:val="center"/>
              <w:rPr>
                <w:rFonts w:eastAsia="仿宋"/>
                <w:color w:val="auto"/>
                <w:szCs w:val="21"/>
                <w:highlight w:val="none"/>
              </w:rPr>
            </w:pPr>
          </w:p>
        </w:tc>
        <w:tc>
          <w:tcPr>
            <w:tcW w:w="1251" w:type="dxa"/>
            <w:vMerge w:val="continue"/>
            <w:tcBorders>
              <w:top w:val="nil"/>
              <w:bottom w:val="nil"/>
            </w:tcBorders>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605" w:type="dxa"/>
            <w:vMerge w:val="continue"/>
            <w:tcBorders>
              <w:top w:val="nil"/>
            </w:tcBorders>
            <w:vAlign w:val="center"/>
          </w:tcPr>
          <w:p>
            <w:pPr>
              <w:jc w:val="center"/>
              <w:rPr>
                <w:rFonts w:eastAsia="仿宋"/>
                <w:color w:val="auto"/>
                <w:szCs w:val="21"/>
                <w:highlight w:val="none"/>
              </w:rPr>
            </w:pPr>
          </w:p>
        </w:tc>
        <w:tc>
          <w:tcPr>
            <w:tcW w:w="3183" w:type="dxa"/>
            <w:gridSpan w:val="3"/>
            <w:vAlign w:val="center"/>
          </w:tcPr>
          <w:p>
            <w:pPr>
              <w:jc w:val="center"/>
              <w:rPr>
                <w:rFonts w:eastAsia="仿宋"/>
                <w:color w:val="auto"/>
                <w:szCs w:val="21"/>
                <w:highlight w:val="none"/>
              </w:rPr>
            </w:pPr>
            <w:r>
              <w:rPr>
                <w:rFonts w:eastAsia="仿宋"/>
                <w:color w:val="auto"/>
                <w:spacing w:val="3"/>
                <w:szCs w:val="21"/>
                <w:highlight w:val="none"/>
              </w:rPr>
              <w:t>成品质量</w:t>
            </w:r>
          </w:p>
        </w:tc>
        <w:tc>
          <w:tcPr>
            <w:tcW w:w="1387" w:type="dxa"/>
            <w:vMerge w:val="continue"/>
            <w:tcBorders>
              <w:top w:val="nil"/>
            </w:tcBorders>
            <w:vAlign w:val="center"/>
          </w:tcPr>
          <w:p>
            <w:pPr>
              <w:jc w:val="center"/>
              <w:rPr>
                <w:rFonts w:eastAsia="仿宋"/>
                <w:color w:val="auto"/>
                <w:szCs w:val="21"/>
                <w:highlight w:val="none"/>
              </w:rPr>
            </w:pPr>
          </w:p>
        </w:tc>
        <w:tc>
          <w:tcPr>
            <w:tcW w:w="2461" w:type="dxa"/>
            <w:gridSpan w:val="3"/>
            <w:vAlign w:val="center"/>
          </w:tcPr>
          <w:p>
            <w:pPr>
              <w:jc w:val="center"/>
              <w:rPr>
                <w:rFonts w:eastAsia="仿宋"/>
                <w:color w:val="auto"/>
                <w:szCs w:val="21"/>
                <w:highlight w:val="none"/>
              </w:rPr>
            </w:pPr>
          </w:p>
        </w:tc>
        <w:tc>
          <w:tcPr>
            <w:tcW w:w="1230" w:type="dxa"/>
            <w:vAlign w:val="center"/>
          </w:tcPr>
          <w:p>
            <w:pPr>
              <w:jc w:val="center"/>
              <w:rPr>
                <w:rFonts w:eastAsia="仿宋"/>
                <w:color w:val="auto"/>
                <w:szCs w:val="21"/>
                <w:highlight w:val="none"/>
              </w:rPr>
            </w:pPr>
          </w:p>
        </w:tc>
        <w:tc>
          <w:tcPr>
            <w:tcW w:w="1251" w:type="dxa"/>
            <w:vMerge w:val="continue"/>
            <w:tcBorders>
              <w:top w:val="nil"/>
            </w:tcBorders>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10117" w:type="dxa"/>
            <w:gridSpan w:val="10"/>
            <w:vAlign w:val="center"/>
          </w:tcPr>
          <w:p>
            <w:pPr>
              <w:jc w:val="center"/>
              <w:rPr>
                <w:rFonts w:eastAsia="仿宋"/>
                <w:color w:val="auto"/>
                <w:szCs w:val="21"/>
                <w:highlight w:val="none"/>
              </w:rPr>
            </w:pPr>
            <w:r>
              <w:rPr>
                <w:rFonts w:eastAsia="仿宋"/>
                <w:color w:val="auto"/>
                <w:spacing w:val="8"/>
                <w:szCs w:val="21"/>
                <w:highlight w:val="none"/>
              </w:rPr>
              <w:t>墙面验收标准</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605" w:type="dxa"/>
            <w:vMerge w:val="restart"/>
            <w:tcBorders>
              <w:bottom w:val="nil"/>
            </w:tcBorders>
            <w:vAlign w:val="center"/>
          </w:tcPr>
          <w:p>
            <w:pPr>
              <w:pStyle w:val="79"/>
              <w:jc w:val="center"/>
              <w:rPr>
                <w:rFonts w:eastAsia="仿宋"/>
                <w:color w:val="auto"/>
                <w:sz w:val="21"/>
                <w:szCs w:val="21"/>
                <w:highlight w:val="none"/>
              </w:rPr>
            </w:pPr>
            <w:r>
              <w:rPr>
                <w:rFonts w:eastAsia="仿宋"/>
                <w:color w:val="auto"/>
                <w:sz w:val="21"/>
                <w:szCs w:val="21"/>
                <w:highlight w:val="none"/>
              </w:rPr>
              <w:t>2</w:t>
            </w:r>
          </w:p>
        </w:tc>
        <w:tc>
          <w:tcPr>
            <w:tcW w:w="3183" w:type="dxa"/>
            <w:gridSpan w:val="3"/>
            <w:vAlign w:val="center"/>
          </w:tcPr>
          <w:p>
            <w:pPr>
              <w:jc w:val="center"/>
              <w:rPr>
                <w:rFonts w:eastAsia="仿宋"/>
                <w:color w:val="auto"/>
                <w:szCs w:val="21"/>
                <w:highlight w:val="none"/>
              </w:rPr>
            </w:pPr>
            <w:r>
              <w:rPr>
                <w:rFonts w:eastAsia="仿宋"/>
                <w:color w:val="auto"/>
                <w:spacing w:val="5"/>
                <w:szCs w:val="21"/>
                <w:highlight w:val="none"/>
              </w:rPr>
              <w:t>原材料检验情况</w:t>
            </w:r>
          </w:p>
        </w:tc>
        <w:tc>
          <w:tcPr>
            <w:tcW w:w="1387" w:type="dxa"/>
            <w:vMerge w:val="restart"/>
            <w:tcBorders>
              <w:bottom w:val="nil"/>
            </w:tcBorders>
            <w:vAlign w:val="center"/>
          </w:tcPr>
          <w:p>
            <w:pPr>
              <w:jc w:val="center"/>
              <w:rPr>
                <w:rFonts w:eastAsia="仿宋"/>
                <w:color w:val="auto"/>
                <w:szCs w:val="21"/>
                <w:highlight w:val="none"/>
              </w:rPr>
            </w:pPr>
          </w:p>
        </w:tc>
        <w:tc>
          <w:tcPr>
            <w:tcW w:w="2461" w:type="dxa"/>
            <w:gridSpan w:val="3"/>
            <w:vAlign w:val="center"/>
          </w:tcPr>
          <w:p>
            <w:pPr>
              <w:jc w:val="center"/>
              <w:rPr>
                <w:rFonts w:eastAsia="仿宋"/>
                <w:color w:val="auto"/>
                <w:szCs w:val="21"/>
                <w:highlight w:val="none"/>
              </w:rPr>
            </w:pPr>
          </w:p>
        </w:tc>
        <w:tc>
          <w:tcPr>
            <w:tcW w:w="1230" w:type="dxa"/>
            <w:vAlign w:val="center"/>
          </w:tcPr>
          <w:p>
            <w:pPr>
              <w:jc w:val="center"/>
              <w:rPr>
                <w:rFonts w:eastAsia="仿宋"/>
                <w:color w:val="auto"/>
                <w:szCs w:val="21"/>
                <w:highlight w:val="none"/>
              </w:rPr>
            </w:pPr>
          </w:p>
        </w:tc>
        <w:tc>
          <w:tcPr>
            <w:tcW w:w="1251" w:type="dxa"/>
            <w:vMerge w:val="restart"/>
            <w:tcBorders>
              <w:bottom w:val="nil"/>
            </w:tcBorders>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605" w:type="dxa"/>
            <w:vMerge w:val="continue"/>
            <w:tcBorders>
              <w:top w:val="nil"/>
              <w:bottom w:val="nil"/>
            </w:tcBorders>
            <w:vAlign w:val="center"/>
          </w:tcPr>
          <w:p>
            <w:pPr>
              <w:jc w:val="center"/>
              <w:rPr>
                <w:rFonts w:eastAsia="仿宋"/>
                <w:color w:val="auto"/>
                <w:szCs w:val="21"/>
                <w:highlight w:val="none"/>
              </w:rPr>
            </w:pPr>
          </w:p>
        </w:tc>
        <w:tc>
          <w:tcPr>
            <w:tcW w:w="3183" w:type="dxa"/>
            <w:gridSpan w:val="3"/>
            <w:vAlign w:val="center"/>
          </w:tcPr>
          <w:p>
            <w:pPr>
              <w:jc w:val="center"/>
              <w:rPr>
                <w:rFonts w:eastAsia="仿宋"/>
                <w:color w:val="auto"/>
                <w:szCs w:val="21"/>
                <w:highlight w:val="none"/>
              </w:rPr>
            </w:pPr>
            <w:r>
              <w:rPr>
                <w:rFonts w:eastAsia="仿宋"/>
                <w:color w:val="auto"/>
                <w:spacing w:val="-2"/>
                <w:szCs w:val="21"/>
                <w:highlight w:val="none"/>
              </w:rPr>
              <w:t>隐蔽验收</w:t>
            </w:r>
          </w:p>
        </w:tc>
        <w:tc>
          <w:tcPr>
            <w:tcW w:w="1387" w:type="dxa"/>
            <w:vMerge w:val="continue"/>
            <w:tcBorders>
              <w:top w:val="nil"/>
              <w:bottom w:val="nil"/>
            </w:tcBorders>
            <w:vAlign w:val="center"/>
          </w:tcPr>
          <w:p>
            <w:pPr>
              <w:jc w:val="center"/>
              <w:rPr>
                <w:rFonts w:eastAsia="仿宋"/>
                <w:color w:val="auto"/>
                <w:szCs w:val="21"/>
                <w:highlight w:val="none"/>
              </w:rPr>
            </w:pPr>
          </w:p>
        </w:tc>
        <w:tc>
          <w:tcPr>
            <w:tcW w:w="2461" w:type="dxa"/>
            <w:gridSpan w:val="3"/>
            <w:vAlign w:val="center"/>
          </w:tcPr>
          <w:p>
            <w:pPr>
              <w:jc w:val="center"/>
              <w:rPr>
                <w:rFonts w:eastAsia="仿宋"/>
                <w:color w:val="auto"/>
                <w:szCs w:val="21"/>
                <w:highlight w:val="none"/>
              </w:rPr>
            </w:pPr>
          </w:p>
        </w:tc>
        <w:tc>
          <w:tcPr>
            <w:tcW w:w="1230" w:type="dxa"/>
            <w:vAlign w:val="center"/>
          </w:tcPr>
          <w:p>
            <w:pPr>
              <w:jc w:val="center"/>
              <w:rPr>
                <w:rFonts w:eastAsia="仿宋"/>
                <w:color w:val="auto"/>
                <w:szCs w:val="21"/>
                <w:highlight w:val="none"/>
              </w:rPr>
            </w:pPr>
          </w:p>
        </w:tc>
        <w:tc>
          <w:tcPr>
            <w:tcW w:w="1251" w:type="dxa"/>
            <w:vMerge w:val="continue"/>
            <w:tcBorders>
              <w:top w:val="nil"/>
              <w:bottom w:val="nil"/>
            </w:tcBorders>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605" w:type="dxa"/>
            <w:vMerge w:val="continue"/>
            <w:tcBorders>
              <w:top w:val="nil"/>
            </w:tcBorders>
            <w:vAlign w:val="center"/>
          </w:tcPr>
          <w:p>
            <w:pPr>
              <w:jc w:val="center"/>
              <w:rPr>
                <w:rFonts w:eastAsia="仿宋"/>
                <w:color w:val="auto"/>
                <w:szCs w:val="21"/>
                <w:highlight w:val="none"/>
              </w:rPr>
            </w:pPr>
          </w:p>
        </w:tc>
        <w:tc>
          <w:tcPr>
            <w:tcW w:w="3183" w:type="dxa"/>
            <w:gridSpan w:val="3"/>
            <w:vAlign w:val="center"/>
          </w:tcPr>
          <w:p>
            <w:pPr>
              <w:jc w:val="center"/>
              <w:rPr>
                <w:rFonts w:eastAsia="仿宋"/>
                <w:color w:val="auto"/>
                <w:szCs w:val="21"/>
                <w:highlight w:val="none"/>
              </w:rPr>
            </w:pPr>
            <w:r>
              <w:rPr>
                <w:rFonts w:eastAsia="仿宋"/>
                <w:color w:val="auto"/>
                <w:spacing w:val="3"/>
                <w:szCs w:val="21"/>
                <w:highlight w:val="none"/>
              </w:rPr>
              <w:t>成品质量</w:t>
            </w:r>
          </w:p>
        </w:tc>
        <w:tc>
          <w:tcPr>
            <w:tcW w:w="1387" w:type="dxa"/>
            <w:vMerge w:val="continue"/>
            <w:tcBorders>
              <w:top w:val="nil"/>
            </w:tcBorders>
            <w:vAlign w:val="center"/>
          </w:tcPr>
          <w:p>
            <w:pPr>
              <w:jc w:val="center"/>
              <w:rPr>
                <w:rFonts w:eastAsia="仿宋"/>
                <w:color w:val="auto"/>
                <w:szCs w:val="21"/>
                <w:highlight w:val="none"/>
              </w:rPr>
            </w:pPr>
          </w:p>
        </w:tc>
        <w:tc>
          <w:tcPr>
            <w:tcW w:w="2461" w:type="dxa"/>
            <w:gridSpan w:val="3"/>
            <w:vAlign w:val="center"/>
          </w:tcPr>
          <w:p>
            <w:pPr>
              <w:jc w:val="center"/>
              <w:rPr>
                <w:rFonts w:eastAsia="仿宋"/>
                <w:color w:val="auto"/>
                <w:szCs w:val="21"/>
                <w:highlight w:val="none"/>
              </w:rPr>
            </w:pPr>
          </w:p>
        </w:tc>
        <w:tc>
          <w:tcPr>
            <w:tcW w:w="1230" w:type="dxa"/>
            <w:vAlign w:val="center"/>
          </w:tcPr>
          <w:p>
            <w:pPr>
              <w:jc w:val="center"/>
              <w:rPr>
                <w:rFonts w:eastAsia="仿宋"/>
                <w:color w:val="auto"/>
                <w:szCs w:val="21"/>
                <w:highlight w:val="none"/>
              </w:rPr>
            </w:pPr>
          </w:p>
        </w:tc>
        <w:tc>
          <w:tcPr>
            <w:tcW w:w="1251" w:type="dxa"/>
            <w:vMerge w:val="continue"/>
            <w:tcBorders>
              <w:top w:val="nil"/>
            </w:tcBorders>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10117" w:type="dxa"/>
            <w:gridSpan w:val="10"/>
            <w:vAlign w:val="center"/>
          </w:tcPr>
          <w:p>
            <w:pPr>
              <w:jc w:val="center"/>
              <w:rPr>
                <w:rFonts w:eastAsia="仿宋"/>
                <w:color w:val="auto"/>
                <w:szCs w:val="21"/>
                <w:highlight w:val="none"/>
              </w:rPr>
            </w:pPr>
            <w:r>
              <w:rPr>
                <w:rFonts w:eastAsia="仿宋"/>
                <w:color w:val="auto"/>
                <w:spacing w:val="8"/>
                <w:szCs w:val="21"/>
                <w:highlight w:val="none"/>
              </w:rPr>
              <w:t>地面验收标准</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605" w:type="dxa"/>
            <w:vMerge w:val="restart"/>
            <w:tcBorders>
              <w:bottom w:val="nil"/>
            </w:tcBorders>
            <w:vAlign w:val="center"/>
          </w:tcPr>
          <w:p>
            <w:pPr>
              <w:pStyle w:val="79"/>
              <w:jc w:val="center"/>
              <w:rPr>
                <w:rFonts w:eastAsia="仿宋"/>
                <w:color w:val="auto"/>
                <w:sz w:val="21"/>
                <w:szCs w:val="21"/>
                <w:highlight w:val="none"/>
              </w:rPr>
            </w:pPr>
            <w:r>
              <w:rPr>
                <w:rFonts w:eastAsia="仿宋"/>
                <w:color w:val="auto"/>
                <w:sz w:val="21"/>
                <w:szCs w:val="21"/>
                <w:highlight w:val="none"/>
              </w:rPr>
              <w:t>3</w:t>
            </w:r>
          </w:p>
        </w:tc>
        <w:tc>
          <w:tcPr>
            <w:tcW w:w="3183" w:type="dxa"/>
            <w:gridSpan w:val="3"/>
            <w:vAlign w:val="center"/>
          </w:tcPr>
          <w:p>
            <w:pPr>
              <w:jc w:val="center"/>
              <w:rPr>
                <w:rFonts w:eastAsia="仿宋"/>
                <w:color w:val="auto"/>
                <w:szCs w:val="21"/>
                <w:highlight w:val="none"/>
              </w:rPr>
            </w:pPr>
            <w:r>
              <w:rPr>
                <w:rFonts w:eastAsia="仿宋"/>
                <w:color w:val="auto"/>
                <w:spacing w:val="5"/>
                <w:szCs w:val="21"/>
                <w:highlight w:val="none"/>
              </w:rPr>
              <w:t>原材料检验情况</w:t>
            </w:r>
          </w:p>
        </w:tc>
        <w:tc>
          <w:tcPr>
            <w:tcW w:w="1387" w:type="dxa"/>
            <w:vMerge w:val="restart"/>
            <w:tcBorders>
              <w:bottom w:val="nil"/>
            </w:tcBorders>
            <w:vAlign w:val="center"/>
          </w:tcPr>
          <w:p>
            <w:pPr>
              <w:jc w:val="center"/>
              <w:rPr>
                <w:rFonts w:eastAsia="仿宋"/>
                <w:color w:val="auto"/>
                <w:szCs w:val="21"/>
                <w:highlight w:val="none"/>
              </w:rPr>
            </w:pPr>
          </w:p>
        </w:tc>
        <w:tc>
          <w:tcPr>
            <w:tcW w:w="2461" w:type="dxa"/>
            <w:gridSpan w:val="3"/>
            <w:vAlign w:val="center"/>
          </w:tcPr>
          <w:p>
            <w:pPr>
              <w:jc w:val="center"/>
              <w:rPr>
                <w:rFonts w:eastAsia="仿宋"/>
                <w:color w:val="auto"/>
                <w:szCs w:val="21"/>
                <w:highlight w:val="none"/>
              </w:rPr>
            </w:pPr>
          </w:p>
        </w:tc>
        <w:tc>
          <w:tcPr>
            <w:tcW w:w="1230" w:type="dxa"/>
            <w:vAlign w:val="center"/>
          </w:tcPr>
          <w:p>
            <w:pPr>
              <w:jc w:val="center"/>
              <w:rPr>
                <w:rFonts w:eastAsia="仿宋"/>
                <w:color w:val="auto"/>
                <w:szCs w:val="21"/>
                <w:highlight w:val="none"/>
              </w:rPr>
            </w:pPr>
          </w:p>
        </w:tc>
        <w:tc>
          <w:tcPr>
            <w:tcW w:w="1251" w:type="dxa"/>
            <w:vMerge w:val="restart"/>
            <w:tcBorders>
              <w:bottom w:val="nil"/>
            </w:tcBorders>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605" w:type="dxa"/>
            <w:vMerge w:val="continue"/>
            <w:tcBorders>
              <w:top w:val="nil"/>
              <w:bottom w:val="nil"/>
            </w:tcBorders>
            <w:vAlign w:val="center"/>
          </w:tcPr>
          <w:p>
            <w:pPr>
              <w:jc w:val="center"/>
              <w:rPr>
                <w:rFonts w:eastAsia="仿宋"/>
                <w:color w:val="auto"/>
                <w:szCs w:val="21"/>
                <w:highlight w:val="none"/>
              </w:rPr>
            </w:pPr>
          </w:p>
        </w:tc>
        <w:tc>
          <w:tcPr>
            <w:tcW w:w="3183" w:type="dxa"/>
            <w:gridSpan w:val="3"/>
            <w:vAlign w:val="center"/>
          </w:tcPr>
          <w:p>
            <w:pPr>
              <w:jc w:val="center"/>
              <w:rPr>
                <w:rFonts w:eastAsia="仿宋"/>
                <w:color w:val="auto"/>
                <w:szCs w:val="21"/>
                <w:highlight w:val="none"/>
              </w:rPr>
            </w:pPr>
            <w:r>
              <w:rPr>
                <w:rFonts w:eastAsia="仿宋"/>
                <w:color w:val="auto"/>
                <w:spacing w:val="-1"/>
                <w:szCs w:val="21"/>
                <w:highlight w:val="none"/>
              </w:rPr>
              <w:t>蓄水试验</w:t>
            </w:r>
          </w:p>
        </w:tc>
        <w:tc>
          <w:tcPr>
            <w:tcW w:w="1387" w:type="dxa"/>
            <w:vMerge w:val="continue"/>
            <w:tcBorders>
              <w:top w:val="nil"/>
              <w:bottom w:val="nil"/>
            </w:tcBorders>
            <w:vAlign w:val="center"/>
          </w:tcPr>
          <w:p>
            <w:pPr>
              <w:jc w:val="center"/>
              <w:rPr>
                <w:rFonts w:eastAsia="仿宋"/>
                <w:color w:val="auto"/>
                <w:szCs w:val="21"/>
                <w:highlight w:val="none"/>
              </w:rPr>
            </w:pPr>
          </w:p>
        </w:tc>
        <w:tc>
          <w:tcPr>
            <w:tcW w:w="2461" w:type="dxa"/>
            <w:gridSpan w:val="3"/>
            <w:vAlign w:val="center"/>
          </w:tcPr>
          <w:p>
            <w:pPr>
              <w:jc w:val="center"/>
              <w:rPr>
                <w:rFonts w:eastAsia="仿宋"/>
                <w:color w:val="auto"/>
                <w:szCs w:val="21"/>
                <w:highlight w:val="none"/>
              </w:rPr>
            </w:pPr>
          </w:p>
        </w:tc>
        <w:tc>
          <w:tcPr>
            <w:tcW w:w="1230" w:type="dxa"/>
            <w:vAlign w:val="center"/>
          </w:tcPr>
          <w:p>
            <w:pPr>
              <w:jc w:val="center"/>
              <w:rPr>
                <w:rFonts w:eastAsia="仿宋"/>
                <w:color w:val="auto"/>
                <w:szCs w:val="21"/>
                <w:highlight w:val="none"/>
              </w:rPr>
            </w:pPr>
          </w:p>
        </w:tc>
        <w:tc>
          <w:tcPr>
            <w:tcW w:w="1251" w:type="dxa"/>
            <w:vMerge w:val="continue"/>
            <w:tcBorders>
              <w:top w:val="nil"/>
              <w:bottom w:val="nil"/>
            </w:tcBorders>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605" w:type="dxa"/>
            <w:vMerge w:val="continue"/>
            <w:tcBorders>
              <w:top w:val="nil"/>
              <w:bottom w:val="nil"/>
            </w:tcBorders>
            <w:vAlign w:val="center"/>
          </w:tcPr>
          <w:p>
            <w:pPr>
              <w:jc w:val="center"/>
              <w:rPr>
                <w:rFonts w:eastAsia="仿宋"/>
                <w:color w:val="auto"/>
                <w:szCs w:val="21"/>
                <w:highlight w:val="none"/>
              </w:rPr>
            </w:pPr>
          </w:p>
        </w:tc>
        <w:tc>
          <w:tcPr>
            <w:tcW w:w="3183" w:type="dxa"/>
            <w:gridSpan w:val="3"/>
            <w:vAlign w:val="center"/>
          </w:tcPr>
          <w:p>
            <w:pPr>
              <w:jc w:val="center"/>
              <w:rPr>
                <w:rFonts w:eastAsia="仿宋"/>
                <w:color w:val="auto"/>
                <w:szCs w:val="21"/>
                <w:highlight w:val="none"/>
              </w:rPr>
            </w:pPr>
            <w:r>
              <w:rPr>
                <w:rFonts w:eastAsia="仿宋"/>
                <w:color w:val="auto"/>
                <w:spacing w:val="-2"/>
                <w:szCs w:val="21"/>
                <w:highlight w:val="none"/>
              </w:rPr>
              <w:t>隐蔽验收</w:t>
            </w:r>
          </w:p>
        </w:tc>
        <w:tc>
          <w:tcPr>
            <w:tcW w:w="1387" w:type="dxa"/>
            <w:vMerge w:val="continue"/>
            <w:tcBorders>
              <w:top w:val="nil"/>
              <w:bottom w:val="nil"/>
            </w:tcBorders>
            <w:vAlign w:val="center"/>
          </w:tcPr>
          <w:p>
            <w:pPr>
              <w:jc w:val="center"/>
              <w:rPr>
                <w:rFonts w:eastAsia="仿宋"/>
                <w:color w:val="auto"/>
                <w:szCs w:val="21"/>
                <w:highlight w:val="none"/>
              </w:rPr>
            </w:pPr>
          </w:p>
        </w:tc>
        <w:tc>
          <w:tcPr>
            <w:tcW w:w="2461" w:type="dxa"/>
            <w:gridSpan w:val="3"/>
            <w:vAlign w:val="center"/>
          </w:tcPr>
          <w:p>
            <w:pPr>
              <w:jc w:val="center"/>
              <w:rPr>
                <w:rFonts w:eastAsia="仿宋"/>
                <w:color w:val="auto"/>
                <w:szCs w:val="21"/>
                <w:highlight w:val="none"/>
              </w:rPr>
            </w:pPr>
          </w:p>
        </w:tc>
        <w:tc>
          <w:tcPr>
            <w:tcW w:w="1230" w:type="dxa"/>
            <w:vAlign w:val="center"/>
          </w:tcPr>
          <w:p>
            <w:pPr>
              <w:jc w:val="center"/>
              <w:rPr>
                <w:rFonts w:eastAsia="仿宋"/>
                <w:color w:val="auto"/>
                <w:szCs w:val="21"/>
                <w:highlight w:val="none"/>
              </w:rPr>
            </w:pPr>
          </w:p>
        </w:tc>
        <w:tc>
          <w:tcPr>
            <w:tcW w:w="1251" w:type="dxa"/>
            <w:vMerge w:val="continue"/>
            <w:tcBorders>
              <w:top w:val="nil"/>
              <w:bottom w:val="nil"/>
            </w:tcBorders>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605" w:type="dxa"/>
            <w:vMerge w:val="continue"/>
            <w:tcBorders>
              <w:top w:val="nil"/>
            </w:tcBorders>
            <w:vAlign w:val="center"/>
          </w:tcPr>
          <w:p>
            <w:pPr>
              <w:jc w:val="center"/>
              <w:rPr>
                <w:rFonts w:eastAsia="仿宋"/>
                <w:color w:val="auto"/>
                <w:szCs w:val="21"/>
                <w:highlight w:val="none"/>
              </w:rPr>
            </w:pPr>
          </w:p>
        </w:tc>
        <w:tc>
          <w:tcPr>
            <w:tcW w:w="3183" w:type="dxa"/>
            <w:gridSpan w:val="3"/>
            <w:vAlign w:val="center"/>
          </w:tcPr>
          <w:p>
            <w:pPr>
              <w:jc w:val="center"/>
              <w:rPr>
                <w:rFonts w:eastAsia="仿宋"/>
                <w:color w:val="auto"/>
                <w:szCs w:val="21"/>
                <w:highlight w:val="none"/>
              </w:rPr>
            </w:pPr>
            <w:r>
              <w:rPr>
                <w:rFonts w:eastAsia="仿宋"/>
                <w:color w:val="auto"/>
                <w:spacing w:val="3"/>
                <w:szCs w:val="21"/>
                <w:highlight w:val="none"/>
              </w:rPr>
              <w:t>成品质量</w:t>
            </w:r>
          </w:p>
        </w:tc>
        <w:tc>
          <w:tcPr>
            <w:tcW w:w="1387" w:type="dxa"/>
            <w:vMerge w:val="continue"/>
            <w:tcBorders>
              <w:top w:val="nil"/>
            </w:tcBorders>
            <w:vAlign w:val="center"/>
          </w:tcPr>
          <w:p>
            <w:pPr>
              <w:jc w:val="center"/>
              <w:rPr>
                <w:rFonts w:eastAsia="仿宋"/>
                <w:color w:val="auto"/>
                <w:szCs w:val="21"/>
                <w:highlight w:val="none"/>
              </w:rPr>
            </w:pPr>
          </w:p>
        </w:tc>
        <w:tc>
          <w:tcPr>
            <w:tcW w:w="2461" w:type="dxa"/>
            <w:gridSpan w:val="3"/>
            <w:vAlign w:val="center"/>
          </w:tcPr>
          <w:p>
            <w:pPr>
              <w:jc w:val="center"/>
              <w:rPr>
                <w:rFonts w:eastAsia="仿宋"/>
                <w:color w:val="auto"/>
                <w:szCs w:val="21"/>
                <w:highlight w:val="none"/>
              </w:rPr>
            </w:pPr>
          </w:p>
        </w:tc>
        <w:tc>
          <w:tcPr>
            <w:tcW w:w="1230" w:type="dxa"/>
            <w:vAlign w:val="center"/>
          </w:tcPr>
          <w:p>
            <w:pPr>
              <w:jc w:val="center"/>
              <w:rPr>
                <w:rFonts w:eastAsia="仿宋"/>
                <w:color w:val="auto"/>
                <w:szCs w:val="21"/>
                <w:highlight w:val="none"/>
              </w:rPr>
            </w:pPr>
          </w:p>
        </w:tc>
        <w:tc>
          <w:tcPr>
            <w:tcW w:w="1251" w:type="dxa"/>
            <w:vMerge w:val="continue"/>
            <w:tcBorders>
              <w:top w:val="nil"/>
            </w:tcBorders>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10117" w:type="dxa"/>
            <w:gridSpan w:val="10"/>
            <w:vAlign w:val="center"/>
          </w:tcPr>
          <w:p>
            <w:pPr>
              <w:jc w:val="center"/>
              <w:rPr>
                <w:rFonts w:eastAsia="仿宋"/>
                <w:color w:val="auto"/>
                <w:szCs w:val="21"/>
                <w:highlight w:val="none"/>
              </w:rPr>
            </w:pPr>
            <w:r>
              <w:rPr>
                <w:rFonts w:eastAsia="仿宋"/>
                <w:color w:val="auto"/>
                <w:spacing w:val="-1"/>
                <w:szCs w:val="21"/>
                <w:highlight w:val="none"/>
              </w:rPr>
              <w:t>吊顶验收标准</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605" w:type="dxa"/>
            <w:vMerge w:val="restart"/>
            <w:tcBorders>
              <w:bottom w:val="nil"/>
            </w:tcBorders>
            <w:vAlign w:val="center"/>
          </w:tcPr>
          <w:p>
            <w:pPr>
              <w:pStyle w:val="79"/>
              <w:jc w:val="center"/>
              <w:rPr>
                <w:rFonts w:eastAsia="仿宋"/>
                <w:color w:val="auto"/>
                <w:sz w:val="21"/>
                <w:szCs w:val="21"/>
                <w:highlight w:val="none"/>
              </w:rPr>
            </w:pPr>
            <w:r>
              <w:rPr>
                <w:rFonts w:eastAsia="仿宋"/>
                <w:color w:val="auto"/>
                <w:sz w:val="21"/>
                <w:szCs w:val="21"/>
                <w:highlight w:val="none"/>
              </w:rPr>
              <w:t>4</w:t>
            </w:r>
          </w:p>
        </w:tc>
        <w:tc>
          <w:tcPr>
            <w:tcW w:w="3183" w:type="dxa"/>
            <w:gridSpan w:val="3"/>
            <w:vAlign w:val="center"/>
          </w:tcPr>
          <w:p>
            <w:pPr>
              <w:jc w:val="center"/>
              <w:rPr>
                <w:rFonts w:eastAsia="仿宋"/>
                <w:color w:val="auto"/>
                <w:szCs w:val="21"/>
                <w:highlight w:val="none"/>
              </w:rPr>
            </w:pPr>
            <w:r>
              <w:rPr>
                <w:rFonts w:eastAsia="仿宋"/>
                <w:color w:val="auto"/>
                <w:spacing w:val="5"/>
                <w:szCs w:val="21"/>
                <w:highlight w:val="none"/>
              </w:rPr>
              <w:t>原材料检验情况</w:t>
            </w:r>
          </w:p>
        </w:tc>
        <w:tc>
          <w:tcPr>
            <w:tcW w:w="1387" w:type="dxa"/>
            <w:vMerge w:val="restart"/>
            <w:tcBorders>
              <w:bottom w:val="nil"/>
            </w:tcBorders>
            <w:vAlign w:val="center"/>
          </w:tcPr>
          <w:p>
            <w:pPr>
              <w:jc w:val="center"/>
              <w:rPr>
                <w:rFonts w:eastAsia="仿宋"/>
                <w:color w:val="auto"/>
                <w:szCs w:val="21"/>
                <w:highlight w:val="none"/>
              </w:rPr>
            </w:pPr>
          </w:p>
        </w:tc>
        <w:tc>
          <w:tcPr>
            <w:tcW w:w="2461" w:type="dxa"/>
            <w:gridSpan w:val="3"/>
            <w:vAlign w:val="center"/>
          </w:tcPr>
          <w:p>
            <w:pPr>
              <w:jc w:val="center"/>
              <w:rPr>
                <w:rFonts w:eastAsia="仿宋"/>
                <w:color w:val="auto"/>
                <w:szCs w:val="21"/>
                <w:highlight w:val="none"/>
              </w:rPr>
            </w:pPr>
          </w:p>
        </w:tc>
        <w:tc>
          <w:tcPr>
            <w:tcW w:w="1230" w:type="dxa"/>
            <w:vAlign w:val="center"/>
          </w:tcPr>
          <w:p>
            <w:pPr>
              <w:jc w:val="center"/>
              <w:rPr>
                <w:rFonts w:eastAsia="仿宋"/>
                <w:color w:val="auto"/>
                <w:szCs w:val="21"/>
                <w:highlight w:val="none"/>
              </w:rPr>
            </w:pPr>
          </w:p>
        </w:tc>
        <w:tc>
          <w:tcPr>
            <w:tcW w:w="1251" w:type="dxa"/>
            <w:vMerge w:val="restart"/>
            <w:tcBorders>
              <w:bottom w:val="nil"/>
            </w:tcBorders>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605" w:type="dxa"/>
            <w:vMerge w:val="continue"/>
            <w:tcBorders>
              <w:top w:val="nil"/>
              <w:bottom w:val="nil"/>
            </w:tcBorders>
            <w:vAlign w:val="center"/>
          </w:tcPr>
          <w:p>
            <w:pPr>
              <w:jc w:val="center"/>
              <w:rPr>
                <w:rFonts w:eastAsia="仿宋"/>
                <w:color w:val="auto"/>
                <w:szCs w:val="21"/>
                <w:highlight w:val="none"/>
              </w:rPr>
            </w:pPr>
          </w:p>
        </w:tc>
        <w:tc>
          <w:tcPr>
            <w:tcW w:w="3183" w:type="dxa"/>
            <w:gridSpan w:val="3"/>
            <w:vAlign w:val="center"/>
          </w:tcPr>
          <w:p>
            <w:pPr>
              <w:jc w:val="center"/>
              <w:rPr>
                <w:rFonts w:eastAsia="仿宋"/>
                <w:color w:val="auto"/>
                <w:szCs w:val="21"/>
                <w:highlight w:val="none"/>
              </w:rPr>
            </w:pPr>
            <w:r>
              <w:rPr>
                <w:rFonts w:eastAsia="仿宋"/>
                <w:color w:val="auto"/>
                <w:spacing w:val="-2"/>
                <w:szCs w:val="21"/>
                <w:highlight w:val="none"/>
              </w:rPr>
              <w:t>隐蔽验收</w:t>
            </w:r>
          </w:p>
        </w:tc>
        <w:tc>
          <w:tcPr>
            <w:tcW w:w="1387" w:type="dxa"/>
            <w:vMerge w:val="continue"/>
            <w:tcBorders>
              <w:top w:val="nil"/>
              <w:bottom w:val="nil"/>
            </w:tcBorders>
            <w:vAlign w:val="center"/>
          </w:tcPr>
          <w:p>
            <w:pPr>
              <w:jc w:val="center"/>
              <w:rPr>
                <w:rFonts w:eastAsia="仿宋"/>
                <w:color w:val="auto"/>
                <w:szCs w:val="21"/>
                <w:highlight w:val="none"/>
              </w:rPr>
            </w:pPr>
          </w:p>
        </w:tc>
        <w:tc>
          <w:tcPr>
            <w:tcW w:w="2461" w:type="dxa"/>
            <w:gridSpan w:val="3"/>
            <w:vAlign w:val="center"/>
          </w:tcPr>
          <w:p>
            <w:pPr>
              <w:jc w:val="center"/>
              <w:rPr>
                <w:rFonts w:eastAsia="仿宋"/>
                <w:color w:val="auto"/>
                <w:szCs w:val="21"/>
                <w:highlight w:val="none"/>
              </w:rPr>
            </w:pPr>
          </w:p>
        </w:tc>
        <w:tc>
          <w:tcPr>
            <w:tcW w:w="1230" w:type="dxa"/>
            <w:vAlign w:val="center"/>
          </w:tcPr>
          <w:p>
            <w:pPr>
              <w:jc w:val="center"/>
              <w:rPr>
                <w:rFonts w:eastAsia="仿宋"/>
                <w:color w:val="auto"/>
                <w:szCs w:val="21"/>
                <w:highlight w:val="none"/>
              </w:rPr>
            </w:pPr>
          </w:p>
        </w:tc>
        <w:tc>
          <w:tcPr>
            <w:tcW w:w="1251" w:type="dxa"/>
            <w:vMerge w:val="continue"/>
            <w:tcBorders>
              <w:top w:val="nil"/>
              <w:bottom w:val="nil"/>
            </w:tcBorders>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605" w:type="dxa"/>
            <w:vMerge w:val="continue"/>
            <w:tcBorders>
              <w:top w:val="nil"/>
            </w:tcBorders>
            <w:vAlign w:val="center"/>
          </w:tcPr>
          <w:p>
            <w:pPr>
              <w:jc w:val="center"/>
              <w:rPr>
                <w:rFonts w:eastAsia="仿宋"/>
                <w:color w:val="auto"/>
                <w:szCs w:val="21"/>
                <w:highlight w:val="none"/>
              </w:rPr>
            </w:pPr>
          </w:p>
        </w:tc>
        <w:tc>
          <w:tcPr>
            <w:tcW w:w="3183" w:type="dxa"/>
            <w:gridSpan w:val="3"/>
            <w:vAlign w:val="center"/>
          </w:tcPr>
          <w:p>
            <w:pPr>
              <w:jc w:val="center"/>
              <w:rPr>
                <w:rFonts w:eastAsia="仿宋"/>
                <w:color w:val="auto"/>
                <w:szCs w:val="21"/>
                <w:highlight w:val="none"/>
              </w:rPr>
            </w:pPr>
            <w:r>
              <w:rPr>
                <w:rFonts w:eastAsia="仿宋"/>
                <w:color w:val="auto"/>
                <w:spacing w:val="3"/>
                <w:szCs w:val="21"/>
                <w:highlight w:val="none"/>
              </w:rPr>
              <w:t>成品质量</w:t>
            </w:r>
          </w:p>
        </w:tc>
        <w:tc>
          <w:tcPr>
            <w:tcW w:w="1387" w:type="dxa"/>
            <w:vMerge w:val="continue"/>
            <w:tcBorders>
              <w:top w:val="nil"/>
            </w:tcBorders>
            <w:vAlign w:val="center"/>
          </w:tcPr>
          <w:p>
            <w:pPr>
              <w:jc w:val="center"/>
              <w:rPr>
                <w:rFonts w:eastAsia="仿宋"/>
                <w:color w:val="auto"/>
                <w:szCs w:val="21"/>
                <w:highlight w:val="none"/>
              </w:rPr>
            </w:pPr>
          </w:p>
        </w:tc>
        <w:tc>
          <w:tcPr>
            <w:tcW w:w="2461" w:type="dxa"/>
            <w:gridSpan w:val="3"/>
            <w:vAlign w:val="center"/>
          </w:tcPr>
          <w:p>
            <w:pPr>
              <w:jc w:val="center"/>
              <w:rPr>
                <w:rFonts w:eastAsia="仿宋"/>
                <w:color w:val="auto"/>
                <w:szCs w:val="21"/>
                <w:highlight w:val="none"/>
              </w:rPr>
            </w:pPr>
          </w:p>
        </w:tc>
        <w:tc>
          <w:tcPr>
            <w:tcW w:w="1230" w:type="dxa"/>
            <w:vAlign w:val="center"/>
          </w:tcPr>
          <w:p>
            <w:pPr>
              <w:jc w:val="center"/>
              <w:rPr>
                <w:rFonts w:eastAsia="仿宋"/>
                <w:color w:val="auto"/>
                <w:szCs w:val="21"/>
                <w:highlight w:val="none"/>
              </w:rPr>
            </w:pPr>
          </w:p>
        </w:tc>
        <w:tc>
          <w:tcPr>
            <w:tcW w:w="1251" w:type="dxa"/>
            <w:vMerge w:val="continue"/>
            <w:tcBorders>
              <w:top w:val="nil"/>
            </w:tcBorders>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10117" w:type="dxa"/>
            <w:gridSpan w:val="10"/>
            <w:vAlign w:val="center"/>
          </w:tcPr>
          <w:p>
            <w:pPr>
              <w:jc w:val="center"/>
              <w:rPr>
                <w:rFonts w:eastAsia="仿宋"/>
                <w:color w:val="auto"/>
                <w:szCs w:val="21"/>
                <w:highlight w:val="none"/>
              </w:rPr>
            </w:pPr>
            <w:r>
              <w:rPr>
                <w:rFonts w:eastAsia="仿宋"/>
                <w:color w:val="auto"/>
                <w:szCs w:val="21"/>
                <w:highlight w:val="none"/>
              </w:rPr>
              <w:t>门窗验收标准</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605" w:type="dxa"/>
            <w:vMerge w:val="restart"/>
            <w:tcBorders>
              <w:bottom w:val="nil"/>
            </w:tcBorders>
            <w:vAlign w:val="center"/>
          </w:tcPr>
          <w:p>
            <w:pPr>
              <w:pStyle w:val="79"/>
              <w:jc w:val="center"/>
              <w:rPr>
                <w:rFonts w:eastAsia="仿宋"/>
                <w:color w:val="auto"/>
                <w:sz w:val="21"/>
                <w:szCs w:val="21"/>
                <w:highlight w:val="none"/>
              </w:rPr>
            </w:pPr>
            <w:r>
              <w:rPr>
                <w:rFonts w:eastAsia="仿宋"/>
                <w:color w:val="auto"/>
                <w:sz w:val="21"/>
                <w:szCs w:val="21"/>
                <w:highlight w:val="none"/>
              </w:rPr>
              <w:t>5</w:t>
            </w:r>
          </w:p>
        </w:tc>
        <w:tc>
          <w:tcPr>
            <w:tcW w:w="3183" w:type="dxa"/>
            <w:gridSpan w:val="3"/>
            <w:vAlign w:val="center"/>
          </w:tcPr>
          <w:p>
            <w:pPr>
              <w:jc w:val="center"/>
              <w:rPr>
                <w:rFonts w:eastAsia="仿宋"/>
                <w:color w:val="auto"/>
                <w:szCs w:val="21"/>
                <w:highlight w:val="none"/>
              </w:rPr>
            </w:pPr>
            <w:r>
              <w:rPr>
                <w:rFonts w:eastAsia="仿宋"/>
                <w:color w:val="auto"/>
                <w:spacing w:val="5"/>
                <w:szCs w:val="21"/>
                <w:highlight w:val="none"/>
              </w:rPr>
              <w:t>原材料检验情况</w:t>
            </w:r>
          </w:p>
        </w:tc>
        <w:tc>
          <w:tcPr>
            <w:tcW w:w="1387" w:type="dxa"/>
            <w:vMerge w:val="restart"/>
            <w:tcBorders>
              <w:bottom w:val="nil"/>
            </w:tcBorders>
            <w:vAlign w:val="center"/>
          </w:tcPr>
          <w:p>
            <w:pPr>
              <w:jc w:val="center"/>
              <w:rPr>
                <w:rFonts w:eastAsia="仿宋"/>
                <w:color w:val="auto"/>
                <w:szCs w:val="21"/>
                <w:highlight w:val="none"/>
              </w:rPr>
            </w:pPr>
          </w:p>
        </w:tc>
        <w:tc>
          <w:tcPr>
            <w:tcW w:w="2461" w:type="dxa"/>
            <w:gridSpan w:val="3"/>
            <w:vAlign w:val="center"/>
          </w:tcPr>
          <w:p>
            <w:pPr>
              <w:jc w:val="center"/>
              <w:rPr>
                <w:rFonts w:eastAsia="仿宋"/>
                <w:color w:val="auto"/>
                <w:szCs w:val="21"/>
                <w:highlight w:val="none"/>
              </w:rPr>
            </w:pPr>
          </w:p>
        </w:tc>
        <w:tc>
          <w:tcPr>
            <w:tcW w:w="1230" w:type="dxa"/>
            <w:vAlign w:val="center"/>
          </w:tcPr>
          <w:p>
            <w:pPr>
              <w:jc w:val="center"/>
              <w:rPr>
                <w:rFonts w:eastAsia="仿宋"/>
                <w:color w:val="auto"/>
                <w:szCs w:val="21"/>
                <w:highlight w:val="none"/>
              </w:rPr>
            </w:pPr>
          </w:p>
        </w:tc>
        <w:tc>
          <w:tcPr>
            <w:tcW w:w="1251" w:type="dxa"/>
            <w:vMerge w:val="restart"/>
            <w:tcBorders>
              <w:bottom w:val="nil"/>
            </w:tcBorders>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605" w:type="dxa"/>
            <w:vMerge w:val="continue"/>
            <w:tcBorders>
              <w:top w:val="nil"/>
              <w:bottom w:val="nil"/>
            </w:tcBorders>
            <w:vAlign w:val="center"/>
          </w:tcPr>
          <w:p>
            <w:pPr>
              <w:jc w:val="center"/>
              <w:rPr>
                <w:rFonts w:eastAsia="仿宋"/>
                <w:color w:val="auto"/>
                <w:szCs w:val="21"/>
                <w:highlight w:val="none"/>
              </w:rPr>
            </w:pPr>
          </w:p>
        </w:tc>
        <w:tc>
          <w:tcPr>
            <w:tcW w:w="3183" w:type="dxa"/>
            <w:gridSpan w:val="3"/>
            <w:vAlign w:val="center"/>
          </w:tcPr>
          <w:p>
            <w:pPr>
              <w:jc w:val="center"/>
              <w:rPr>
                <w:rFonts w:eastAsia="仿宋"/>
                <w:color w:val="auto"/>
                <w:szCs w:val="21"/>
                <w:highlight w:val="none"/>
              </w:rPr>
            </w:pPr>
            <w:r>
              <w:rPr>
                <w:rFonts w:eastAsia="仿宋"/>
                <w:color w:val="auto"/>
                <w:spacing w:val="4"/>
                <w:szCs w:val="21"/>
                <w:highlight w:val="none"/>
              </w:rPr>
              <w:t>试水测试</w:t>
            </w:r>
          </w:p>
        </w:tc>
        <w:tc>
          <w:tcPr>
            <w:tcW w:w="1387" w:type="dxa"/>
            <w:vMerge w:val="continue"/>
            <w:tcBorders>
              <w:top w:val="nil"/>
              <w:bottom w:val="nil"/>
            </w:tcBorders>
            <w:vAlign w:val="center"/>
          </w:tcPr>
          <w:p>
            <w:pPr>
              <w:jc w:val="center"/>
              <w:rPr>
                <w:rFonts w:eastAsia="仿宋"/>
                <w:color w:val="auto"/>
                <w:szCs w:val="21"/>
                <w:highlight w:val="none"/>
              </w:rPr>
            </w:pPr>
          </w:p>
        </w:tc>
        <w:tc>
          <w:tcPr>
            <w:tcW w:w="2461" w:type="dxa"/>
            <w:gridSpan w:val="3"/>
            <w:vAlign w:val="center"/>
          </w:tcPr>
          <w:p>
            <w:pPr>
              <w:jc w:val="center"/>
              <w:rPr>
                <w:rFonts w:eastAsia="仿宋"/>
                <w:color w:val="auto"/>
                <w:szCs w:val="21"/>
                <w:highlight w:val="none"/>
              </w:rPr>
            </w:pPr>
          </w:p>
        </w:tc>
        <w:tc>
          <w:tcPr>
            <w:tcW w:w="1230" w:type="dxa"/>
            <w:vAlign w:val="center"/>
          </w:tcPr>
          <w:p>
            <w:pPr>
              <w:jc w:val="center"/>
              <w:rPr>
                <w:rFonts w:eastAsia="仿宋"/>
                <w:color w:val="auto"/>
                <w:szCs w:val="21"/>
                <w:highlight w:val="none"/>
              </w:rPr>
            </w:pPr>
          </w:p>
        </w:tc>
        <w:tc>
          <w:tcPr>
            <w:tcW w:w="1251" w:type="dxa"/>
            <w:vMerge w:val="continue"/>
            <w:tcBorders>
              <w:top w:val="nil"/>
              <w:bottom w:val="nil"/>
            </w:tcBorders>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605" w:type="dxa"/>
            <w:vMerge w:val="continue"/>
            <w:tcBorders>
              <w:top w:val="nil"/>
            </w:tcBorders>
            <w:vAlign w:val="center"/>
          </w:tcPr>
          <w:p>
            <w:pPr>
              <w:jc w:val="center"/>
              <w:rPr>
                <w:rFonts w:eastAsia="仿宋"/>
                <w:color w:val="auto"/>
                <w:szCs w:val="21"/>
                <w:highlight w:val="none"/>
              </w:rPr>
            </w:pPr>
          </w:p>
        </w:tc>
        <w:tc>
          <w:tcPr>
            <w:tcW w:w="3183" w:type="dxa"/>
            <w:gridSpan w:val="3"/>
            <w:vAlign w:val="center"/>
          </w:tcPr>
          <w:p>
            <w:pPr>
              <w:jc w:val="center"/>
              <w:rPr>
                <w:rFonts w:eastAsia="仿宋"/>
                <w:color w:val="auto"/>
                <w:szCs w:val="21"/>
                <w:highlight w:val="none"/>
              </w:rPr>
            </w:pPr>
            <w:r>
              <w:rPr>
                <w:rFonts w:eastAsia="仿宋"/>
                <w:color w:val="auto"/>
                <w:spacing w:val="3"/>
                <w:szCs w:val="21"/>
                <w:highlight w:val="none"/>
              </w:rPr>
              <w:t>成品质量</w:t>
            </w:r>
          </w:p>
        </w:tc>
        <w:tc>
          <w:tcPr>
            <w:tcW w:w="1387" w:type="dxa"/>
            <w:vMerge w:val="continue"/>
            <w:tcBorders>
              <w:top w:val="nil"/>
            </w:tcBorders>
            <w:vAlign w:val="center"/>
          </w:tcPr>
          <w:p>
            <w:pPr>
              <w:jc w:val="center"/>
              <w:rPr>
                <w:rFonts w:eastAsia="仿宋"/>
                <w:color w:val="auto"/>
                <w:szCs w:val="21"/>
                <w:highlight w:val="none"/>
              </w:rPr>
            </w:pPr>
          </w:p>
        </w:tc>
        <w:tc>
          <w:tcPr>
            <w:tcW w:w="2461" w:type="dxa"/>
            <w:gridSpan w:val="3"/>
            <w:vAlign w:val="center"/>
          </w:tcPr>
          <w:p>
            <w:pPr>
              <w:jc w:val="center"/>
              <w:rPr>
                <w:rFonts w:eastAsia="仿宋"/>
                <w:color w:val="auto"/>
                <w:szCs w:val="21"/>
                <w:highlight w:val="none"/>
              </w:rPr>
            </w:pPr>
          </w:p>
        </w:tc>
        <w:tc>
          <w:tcPr>
            <w:tcW w:w="1230" w:type="dxa"/>
            <w:vAlign w:val="center"/>
          </w:tcPr>
          <w:p>
            <w:pPr>
              <w:jc w:val="center"/>
              <w:rPr>
                <w:rFonts w:eastAsia="仿宋"/>
                <w:color w:val="auto"/>
                <w:szCs w:val="21"/>
                <w:highlight w:val="none"/>
              </w:rPr>
            </w:pPr>
          </w:p>
        </w:tc>
        <w:tc>
          <w:tcPr>
            <w:tcW w:w="1251" w:type="dxa"/>
            <w:vMerge w:val="continue"/>
            <w:tcBorders>
              <w:top w:val="nil"/>
            </w:tcBorders>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10117" w:type="dxa"/>
            <w:gridSpan w:val="10"/>
            <w:vAlign w:val="center"/>
          </w:tcPr>
          <w:p>
            <w:pPr>
              <w:jc w:val="center"/>
              <w:rPr>
                <w:rFonts w:eastAsia="仿宋"/>
                <w:color w:val="auto"/>
                <w:szCs w:val="21"/>
                <w:highlight w:val="none"/>
              </w:rPr>
            </w:pPr>
            <w:r>
              <w:rPr>
                <w:rFonts w:eastAsia="仿宋"/>
                <w:color w:val="auto"/>
                <w:spacing w:val="8"/>
                <w:szCs w:val="21"/>
                <w:highlight w:val="none"/>
              </w:rPr>
              <w:t>细部验收标准</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605" w:type="dxa"/>
            <w:vMerge w:val="restart"/>
            <w:tcBorders>
              <w:bottom w:val="nil"/>
            </w:tcBorders>
            <w:vAlign w:val="center"/>
          </w:tcPr>
          <w:p>
            <w:pPr>
              <w:pStyle w:val="79"/>
              <w:jc w:val="center"/>
              <w:rPr>
                <w:rFonts w:eastAsia="仿宋"/>
                <w:color w:val="auto"/>
                <w:sz w:val="21"/>
                <w:szCs w:val="21"/>
                <w:highlight w:val="none"/>
              </w:rPr>
            </w:pPr>
            <w:r>
              <w:rPr>
                <w:rFonts w:eastAsia="仿宋"/>
                <w:color w:val="auto"/>
                <w:sz w:val="21"/>
                <w:szCs w:val="21"/>
                <w:highlight w:val="none"/>
              </w:rPr>
              <w:t>6</w:t>
            </w:r>
          </w:p>
        </w:tc>
        <w:tc>
          <w:tcPr>
            <w:tcW w:w="3183" w:type="dxa"/>
            <w:gridSpan w:val="3"/>
            <w:vAlign w:val="center"/>
          </w:tcPr>
          <w:p>
            <w:pPr>
              <w:jc w:val="center"/>
              <w:rPr>
                <w:rFonts w:eastAsia="仿宋"/>
                <w:color w:val="auto"/>
                <w:szCs w:val="21"/>
                <w:highlight w:val="none"/>
              </w:rPr>
            </w:pPr>
            <w:r>
              <w:rPr>
                <w:rFonts w:eastAsia="仿宋"/>
                <w:color w:val="auto"/>
                <w:spacing w:val="12"/>
                <w:szCs w:val="21"/>
                <w:highlight w:val="none"/>
              </w:rPr>
              <w:t>原材料检验情况</w:t>
            </w:r>
          </w:p>
        </w:tc>
        <w:tc>
          <w:tcPr>
            <w:tcW w:w="1387" w:type="dxa"/>
            <w:vMerge w:val="restart"/>
            <w:tcBorders>
              <w:bottom w:val="nil"/>
            </w:tcBorders>
            <w:vAlign w:val="center"/>
          </w:tcPr>
          <w:p>
            <w:pPr>
              <w:jc w:val="center"/>
              <w:rPr>
                <w:rFonts w:eastAsia="仿宋"/>
                <w:color w:val="auto"/>
                <w:szCs w:val="21"/>
                <w:highlight w:val="none"/>
              </w:rPr>
            </w:pPr>
          </w:p>
        </w:tc>
        <w:tc>
          <w:tcPr>
            <w:tcW w:w="2461" w:type="dxa"/>
            <w:gridSpan w:val="3"/>
            <w:vAlign w:val="center"/>
          </w:tcPr>
          <w:p>
            <w:pPr>
              <w:jc w:val="center"/>
              <w:rPr>
                <w:rFonts w:eastAsia="仿宋"/>
                <w:color w:val="auto"/>
                <w:szCs w:val="21"/>
                <w:highlight w:val="none"/>
              </w:rPr>
            </w:pPr>
          </w:p>
        </w:tc>
        <w:tc>
          <w:tcPr>
            <w:tcW w:w="1230" w:type="dxa"/>
            <w:vAlign w:val="center"/>
          </w:tcPr>
          <w:p>
            <w:pPr>
              <w:jc w:val="center"/>
              <w:rPr>
                <w:rFonts w:eastAsia="仿宋"/>
                <w:color w:val="auto"/>
                <w:szCs w:val="21"/>
                <w:highlight w:val="none"/>
              </w:rPr>
            </w:pPr>
          </w:p>
        </w:tc>
        <w:tc>
          <w:tcPr>
            <w:tcW w:w="1251" w:type="dxa"/>
            <w:vMerge w:val="restart"/>
            <w:tcBorders>
              <w:bottom w:val="nil"/>
            </w:tcBorders>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605" w:type="dxa"/>
            <w:vMerge w:val="continue"/>
            <w:tcBorders>
              <w:top w:val="nil"/>
              <w:bottom w:val="nil"/>
            </w:tcBorders>
            <w:vAlign w:val="center"/>
          </w:tcPr>
          <w:p>
            <w:pPr>
              <w:jc w:val="center"/>
              <w:rPr>
                <w:rFonts w:eastAsia="仿宋"/>
                <w:color w:val="auto"/>
                <w:szCs w:val="21"/>
                <w:highlight w:val="none"/>
              </w:rPr>
            </w:pPr>
          </w:p>
        </w:tc>
        <w:tc>
          <w:tcPr>
            <w:tcW w:w="3183" w:type="dxa"/>
            <w:gridSpan w:val="3"/>
            <w:vAlign w:val="center"/>
          </w:tcPr>
          <w:p>
            <w:pPr>
              <w:jc w:val="center"/>
              <w:rPr>
                <w:rFonts w:eastAsia="仿宋"/>
                <w:color w:val="auto"/>
                <w:szCs w:val="21"/>
                <w:highlight w:val="none"/>
              </w:rPr>
            </w:pPr>
            <w:r>
              <w:rPr>
                <w:rFonts w:eastAsia="仿宋"/>
                <w:color w:val="auto"/>
                <w:spacing w:val="4"/>
                <w:szCs w:val="21"/>
                <w:highlight w:val="none"/>
              </w:rPr>
              <w:t>隐蔽验收</w:t>
            </w:r>
          </w:p>
        </w:tc>
        <w:tc>
          <w:tcPr>
            <w:tcW w:w="1387" w:type="dxa"/>
            <w:vMerge w:val="continue"/>
            <w:tcBorders>
              <w:top w:val="nil"/>
              <w:bottom w:val="nil"/>
            </w:tcBorders>
            <w:vAlign w:val="center"/>
          </w:tcPr>
          <w:p>
            <w:pPr>
              <w:jc w:val="center"/>
              <w:rPr>
                <w:rFonts w:eastAsia="仿宋"/>
                <w:color w:val="auto"/>
                <w:szCs w:val="21"/>
                <w:highlight w:val="none"/>
              </w:rPr>
            </w:pPr>
          </w:p>
        </w:tc>
        <w:tc>
          <w:tcPr>
            <w:tcW w:w="2461" w:type="dxa"/>
            <w:gridSpan w:val="3"/>
            <w:vAlign w:val="center"/>
          </w:tcPr>
          <w:p>
            <w:pPr>
              <w:jc w:val="center"/>
              <w:rPr>
                <w:rFonts w:eastAsia="仿宋"/>
                <w:color w:val="auto"/>
                <w:szCs w:val="21"/>
                <w:highlight w:val="none"/>
              </w:rPr>
            </w:pPr>
          </w:p>
        </w:tc>
        <w:tc>
          <w:tcPr>
            <w:tcW w:w="1230" w:type="dxa"/>
            <w:vAlign w:val="center"/>
          </w:tcPr>
          <w:p>
            <w:pPr>
              <w:jc w:val="center"/>
              <w:rPr>
                <w:rFonts w:eastAsia="仿宋"/>
                <w:color w:val="auto"/>
                <w:szCs w:val="21"/>
                <w:highlight w:val="none"/>
              </w:rPr>
            </w:pPr>
          </w:p>
        </w:tc>
        <w:tc>
          <w:tcPr>
            <w:tcW w:w="1251" w:type="dxa"/>
            <w:vMerge w:val="continue"/>
            <w:tcBorders>
              <w:top w:val="nil"/>
              <w:bottom w:val="nil"/>
            </w:tcBorders>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605" w:type="dxa"/>
            <w:vMerge w:val="continue"/>
            <w:tcBorders>
              <w:top w:val="nil"/>
            </w:tcBorders>
            <w:vAlign w:val="center"/>
          </w:tcPr>
          <w:p>
            <w:pPr>
              <w:jc w:val="center"/>
              <w:rPr>
                <w:rFonts w:eastAsia="仿宋"/>
                <w:color w:val="auto"/>
                <w:szCs w:val="21"/>
                <w:highlight w:val="none"/>
              </w:rPr>
            </w:pPr>
          </w:p>
        </w:tc>
        <w:tc>
          <w:tcPr>
            <w:tcW w:w="3183" w:type="dxa"/>
            <w:gridSpan w:val="3"/>
            <w:vAlign w:val="center"/>
          </w:tcPr>
          <w:p>
            <w:pPr>
              <w:jc w:val="center"/>
              <w:rPr>
                <w:rFonts w:eastAsia="仿宋"/>
                <w:color w:val="auto"/>
                <w:szCs w:val="21"/>
                <w:highlight w:val="none"/>
              </w:rPr>
            </w:pPr>
            <w:r>
              <w:rPr>
                <w:rFonts w:eastAsia="仿宋"/>
                <w:color w:val="auto"/>
                <w:spacing w:val="8"/>
                <w:szCs w:val="21"/>
                <w:highlight w:val="none"/>
              </w:rPr>
              <w:t>成品质量</w:t>
            </w:r>
          </w:p>
        </w:tc>
        <w:tc>
          <w:tcPr>
            <w:tcW w:w="1387" w:type="dxa"/>
            <w:vMerge w:val="continue"/>
            <w:tcBorders>
              <w:top w:val="nil"/>
            </w:tcBorders>
            <w:vAlign w:val="center"/>
          </w:tcPr>
          <w:p>
            <w:pPr>
              <w:jc w:val="center"/>
              <w:rPr>
                <w:rFonts w:eastAsia="仿宋"/>
                <w:color w:val="auto"/>
                <w:szCs w:val="21"/>
                <w:highlight w:val="none"/>
              </w:rPr>
            </w:pPr>
          </w:p>
        </w:tc>
        <w:tc>
          <w:tcPr>
            <w:tcW w:w="2461" w:type="dxa"/>
            <w:gridSpan w:val="3"/>
            <w:vAlign w:val="center"/>
          </w:tcPr>
          <w:p>
            <w:pPr>
              <w:jc w:val="center"/>
              <w:rPr>
                <w:rFonts w:eastAsia="仿宋"/>
                <w:color w:val="auto"/>
                <w:szCs w:val="21"/>
                <w:highlight w:val="none"/>
              </w:rPr>
            </w:pPr>
          </w:p>
        </w:tc>
        <w:tc>
          <w:tcPr>
            <w:tcW w:w="1230" w:type="dxa"/>
            <w:vAlign w:val="center"/>
          </w:tcPr>
          <w:p>
            <w:pPr>
              <w:jc w:val="center"/>
              <w:rPr>
                <w:rFonts w:eastAsia="仿宋"/>
                <w:color w:val="auto"/>
                <w:szCs w:val="21"/>
                <w:highlight w:val="none"/>
              </w:rPr>
            </w:pPr>
          </w:p>
        </w:tc>
        <w:tc>
          <w:tcPr>
            <w:tcW w:w="1251" w:type="dxa"/>
            <w:vMerge w:val="continue"/>
            <w:tcBorders>
              <w:top w:val="nil"/>
            </w:tcBorders>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1776" w:hRule="atLeast"/>
          <w:jc w:val="center"/>
        </w:trPr>
        <w:tc>
          <w:tcPr>
            <w:tcW w:w="3372" w:type="dxa"/>
            <w:gridSpan w:val="3"/>
            <w:vAlign w:val="center"/>
          </w:tcPr>
          <w:p>
            <w:pPr>
              <w:spacing w:before="58" w:line="219" w:lineRule="auto"/>
              <w:rPr>
                <w:rFonts w:eastAsia="仿宋"/>
                <w:color w:val="auto"/>
                <w:szCs w:val="21"/>
                <w:highlight w:val="none"/>
              </w:rPr>
            </w:pPr>
            <w:r>
              <w:rPr>
                <w:rFonts w:hint="eastAsia" w:eastAsia="仿宋"/>
                <w:color w:val="auto"/>
                <w:spacing w:val="-3"/>
                <w:szCs w:val="21"/>
                <w:highlight w:val="none"/>
              </w:rPr>
              <w:t>模块制作</w:t>
            </w:r>
            <w:r>
              <w:rPr>
                <w:rFonts w:eastAsia="仿宋"/>
                <w:color w:val="auto"/>
                <w:spacing w:val="-3"/>
                <w:szCs w:val="21"/>
                <w:highlight w:val="none"/>
              </w:rPr>
              <w:t>单位</w:t>
            </w:r>
          </w:p>
          <w:p>
            <w:pPr>
              <w:spacing w:before="117" w:line="219" w:lineRule="auto"/>
              <w:rPr>
                <w:rFonts w:eastAsia="仿宋"/>
                <w:color w:val="auto"/>
                <w:spacing w:val="-2"/>
                <w:szCs w:val="21"/>
                <w:highlight w:val="none"/>
              </w:rPr>
            </w:pPr>
            <w:r>
              <w:rPr>
                <w:rFonts w:eastAsia="仿宋"/>
                <w:color w:val="auto"/>
                <w:spacing w:val="-2"/>
                <w:szCs w:val="21"/>
                <w:highlight w:val="none"/>
              </w:rPr>
              <w:t>项目负责人：</w:t>
            </w:r>
          </w:p>
          <w:p>
            <w:pPr>
              <w:spacing w:before="117" w:line="219" w:lineRule="auto"/>
              <w:jc w:val="right"/>
              <w:rPr>
                <w:rFonts w:eastAsia="仿宋"/>
                <w:color w:val="auto"/>
                <w:szCs w:val="21"/>
                <w:highlight w:val="none"/>
              </w:rPr>
            </w:pPr>
            <w:r>
              <w:rPr>
                <w:rFonts w:eastAsia="仿宋"/>
                <w:color w:val="auto"/>
                <w:spacing w:val="-7"/>
                <w:szCs w:val="21"/>
                <w:highlight w:val="none"/>
              </w:rPr>
              <w:t>年</w:t>
            </w:r>
            <w:r>
              <w:rPr>
                <w:rFonts w:eastAsia="仿宋"/>
                <w:color w:val="auto"/>
                <w:spacing w:val="3"/>
                <w:szCs w:val="21"/>
                <w:highlight w:val="none"/>
              </w:rPr>
              <w:t xml:space="preserve">    </w:t>
            </w:r>
            <w:r>
              <w:rPr>
                <w:rFonts w:eastAsia="仿宋"/>
                <w:color w:val="auto"/>
                <w:spacing w:val="-7"/>
                <w:szCs w:val="21"/>
                <w:highlight w:val="none"/>
              </w:rPr>
              <w:t>月</w:t>
            </w:r>
            <w:r>
              <w:rPr>
                <w:rFonts w:eastAsia="仿宋"/>
                <w:color w:val="auto"/>
                <w:spacing w:val="9"/>
                <w:szCs w:val="21"/>
                <w:highlight w:val="none"/>
              </w:rPr>
              <w:t xml:space="preserve">    </w:t>
            </w:r>
            <w:r>
              <w:rPr>
                <w:rFonts w:eastAsia="仿宋"/>
                <w:color w:val="auto"/>
                <w:spacing w:val="-7"/>
                <w:szCs w:val="21"/>
                <w:highlight w:val="none"/>
              </w:rPr>
              <w:t>日</w:t>
            </w:r>
          </w:p>
        </w:tc>
        <w:tc>
          <w:tcPr>
            <w:tcW w:w="3372" w:type="dxa"/>
            <w:gridSpan w:val="4"/>
            <w:vAlign w:val="center"/>
          </w:tcPr>
          <w:p>
            <w:pPr>
              <w:spacing w:before="58" w:line="219" w:lineRule="auto"/>
              <w:rPr>
                <w:rFonts w:eastAsia="仿宋"/>
                <w:color w:val="auto"/>
                <w:szCs w:val="21"/>
                <w:highlight w:val="none"/>
              </w:rPr>
            </w:pPr>
            <w:r>
              <w:rPr>
                <w:rFonts w:hint="eastAsia" w:eastAsia="仿宋"/>
                <w:color w:val="auto"/>
                <w:spacing w:val="-3"/>
                <w:szCs w:val="21"/>
                <w:highlight w:val="none"/>
              </w:rPr>
              <w:t>施工</w:t>
            </w:r>
            <w:r>
              <w:rPr>
                <w:rFonts w:eastAsia="仿宋"/>
                <w:color w:val="auto"/>
                <w:spacing w:val="-3"/>
                <w:szCs w:val="21"/>
                <w:highlight w:val="none"/>
              </w:rPr>
              <w:t>单位</w:t>
            </w:r>
          </w:p>
          <w:p>
            <w:pPr>
              <w:spacing w:before="117" w:line="219" w:lineRule="auto"/>
              <w:rPr>
                <w:rFonts w:eastAsia="仿宋"/>
                <w:color w:val="auto"/>
                <w:spacing w:val="-2"/>
                <w:szCs w:val="21"/>
                <w:highlight w:val="none"/>
              </w:rPr>
            </w:pPr>
            <w:r>
              <w:rPr>
                <w:rFonts w:eastAsia="仿宋"/>
                <w:color w:val="auto"/>
                <w:spacing w:val="-2"/>
                <w:szCs w:val="21"/>
                <w:highlight w:val="none"/>
              </w:rPr>
              <w:t>项目负责人：</w:t>
            </w:r>
          </w:p>
          <w:p>
            <w:pPr>
              <w:spacing w:before="117" w:line="219" w:lineRule="auto"/>
              <w:jc w:val="right"/>
              <w:rPr>
                <w:rFonts w:eastAsia="仿宋"/>
                <w:color w:val="auto"/>
                <w:spacing w:val="-2"/>
                <w:szCs w:val="21"/>
                <w:highlight w:val="none"/>
              </w:rPr>
            </w:pPr>
            <w:r>
              <w:rPr>
                <w:rFonts w:eastAsia="仿宋"/>
                <w:color w:val="auto"/>
                <w:spacing w:val="-7"/>
                <w:szCs w:val="21"/>
                <w:highlight w:val="none"/>
              </w:rPr>
              <w:t>年</w:t>
            </w:r>
            <w:r>
              <w:rPr>
                <w:rFonts w:eastAsia="仿宋"/>
                <w:color w:val="auto"/>
                <w:spacing w:val="3"/>
                <w:szCs w:val="21"/>
                <w:highlight w:val="none"/>
              </w:rPr>
              <w:t xml:space="preserve">    </w:t>
            </w:r>
            <w:r>
              <w:rPr>
                <w:rFonts w:eastAsia="仿宋"/>
                <w:color w:val="auto"/>
                <w:spacing w:val="-7"/>
                <w:szCs w:val="21"/>
                <w:highlight w:val="none"/>
              </w:rPr>
              <w:t>月</w:t>
            </w:r>
            <w:r>
              <w:rPr>
                <w:rFonts w:eastAsia="仿宋"/>
                <w:color w:val="auto"/>
                <w:spacing w:val="9"/>
                <w:szCs w:val="21"/>
                <w:highlight w:val="none"/>
              </w:rPr>
              <w:t xml:space="preserve">    </w:t>
            </w:r>
            <w:r>
              <w:rPr>
                <w:rFonts w:eastAsia="仿宋"/>
                <w:color w:val="auto"/>
                <w:spacing w:val="-7"/>
                <w:szCs w:val="21"/>
                <w:highlight w:val="none"/>
              </w:rPr>
              <w:t>日</w:t>
            </w:r>
          </w:p>
        </w:tc>
        <w:tc>
          <w:tcPr>
            <w:tcW w:w="3373" w:type="dxa"/>
            <w:gridSpan w:val="3"/>
            <w:vAlign w:val="center"/>
          </w:tcPr>
          <w:p>
            <w:pPr>
              <w:spacing w:before="58" w:line="219" w:lineRule="auto"/>
              <w:rPr>
                <w:rFonts w:eastAsia="仿宋"/>
                <w:color w:val="auto"/>
                <w:szCs w:val="21"/>
                <w:highlight w:val="none"/>
              </w:rPr>
            </w:pPr>
            <w:r>
              <w:rPr>
                <w:rFonts w:hint="eastAsia" w:eastAsia="仿宋"/>
                <w:color w:val="auto"/>
                <w:spacing w:val="-3"/>
                <w:szCs w:val="21"/>
                <w:highlight w:val="none"/>
              </w:rPr>
              <w:t>监理</w:t>
            </w:r>
            <w:r>
              <w:rPr>
                <w:rFonts w:eastAsia="仿宋"/>
                <w:color w:val="auto"/>
                <w:spacing w:val="-3"/>
                <w:szCs w:val="21"/>
                <w:highlight w:val="none"/>
              </w:rPr>
              <w:t>单位</w:t>
            </w:r>
          </w:p>
          <w:p>
            <w:pPr>
              <w:spacing w:before="117" w:line="219" w:lineRule="auto"/>
              <w:rPr>
                <w:rFonts w:eastAsia="仿宋"/>
                <w:color w:val="auto"/>
                <w:spacing w:val="-2"/>
                <w:szCs w:val="21"/>
                <w:highlight w:val="none"/>
              </w:rPr>
            </w:pPr>
            <w:r>
              <w:rPr>
                <w:rFonts w:hint="eastAsia" w:eastAsia="仿宋"/>
                <w:color w:val="auto"/>
                <w:spacing w:val="-2"/>
                <w:szCs w:val="21"/>
                <w:highlight w:val="none"/>
              </w:rPr>
              <w:t>专业监理工程师</w:t>
            </w:r>
            <w:r>
              <w:rPr>
                <w:rFonts w:eastAsia="仿宋"/>
                <w:color w:val="auto"/>
                <w:spacing w:val="-2"/>
                <w:szCs w:val="21"/>
                <w:highlight w:val="none"/>
              </w:rPr>
              <w:t>：</w:t>
            </w:r>
          </w:p>
          <w:p>
            <w:pPr>
              <w:spacing w:before="117" w:line="219" w:lineRule="auto"/>
              <w:jc w:val="right"/>
              <w:rPr>
                <w:rFonts w:eastAsia="仿宋"/>
                <w:color w:val="auto"/>
                <w:szCs w:val="21"/>
                <w:highlight w:val="none"/>
              </w:rPr>
            </w:pPr>
            <w:r>
              <w:rPr>
                <w:rFonts w:eastAsia="仿宋"/>
                <w:color w:val="auto"/>
                <w:spacing w:val="-7"/>
                <w:szCs w:val="21"/>
                <w:highlight w:val="none"/>
              </w:rPr>
              <w:t>年</w:t>
            </w:r>
            <w:r>
              <w:rPr>
                <w:rFonts w:eastAsia="仿宋"/>
                <w:color w:val="auto"/>
                <w:spacing w:val="3"/>
                <w:szCs w:val="21"/>
                <w:highlight w:val="none"/>
              </w:rPr>
              <w:t xml:space="preserve">    </w:t>
            </w:r>
            <w:r>
              <w:rPr>
                <w:rFonts w:eastAsia="仿宋"/>
                <w:color w:val="auto"/>
                <w:spacing w:val="-7"/>
                <w:szCs w:val="21"/>
                <w:highlight w:val="none"/>
              </w:rPr>
              <w:t>月</w:t>
            </w:r>
            <w:r>
              <w:rPr>
                <w:rFonts w:eastAsia="仿宋"/>
                <w:color w:val="auto"/>
                <w:spacing w:val="9"/>
                <w:szCs w:val="21"/>
                <w:highlight w:val="none"/>
              </w:rPr>
              <w:t xml:space="preserve">    </w:t>
            </w:r>
            <w:r>
              <w:rPr>
                <w:rFonts w:eastAsia="仿宋"/>
                <w:color w:val="auto"/>
                <w:spacing w:val="-7"/>
                <w:szCs w:val="21"/>
                <w:highlight w:val="none"/>
              </w:rPr>
              <w:t>日</w:t>
            </w:r>
          </w:p>
        </w:tc>
      </w:tr>
    </w:tbl>
    <w:p>
      <w:pPr>
        <w:outlineLvl w:val="1"/>
        <w:rPr>
          <w:bCs/>
          <w:color w:val="auto"/>
          <w:highlight w:val="none"/>
        </w:rPr>
        <w:sectPr>
          <w:pgSz w:w="11906" w:h="16838"/>
          <w:pgMar w:top="1610" w:right="1349" w:bottom="1213" w:left="1293" w:header="851" w:footer="992" w:gutter="0"/>
          <w:cols w:space="720" w:num="1"/>
          <w:docGrid w:type="linesAndChars" w:linePitch="333" w:charSpace="2165"/>
        </w:sectPr>
      </w:pPr>
    </w:p>
    <w:p>
      <w:pPr>
        <w:pStyle w:val="4"/>
        <w:jc w:val="center"/>
        <w:rPr>
          <w:rFonts w:hint="eastAsia"/>
          <w:color w:val="auto"/>
          <w:sz w:val="21"/>
          <w:szCs w:val="32"/>
          <w:highlight w:val="none"/>
        </w:rPr>
      </w:pPr>
      <w:bookmarkStart w:id="1697" w:name="_Toc9870"/>
      <w:bookmarkStart w:id="1698" w:name="_Toc25519"/>
      <w:r>
        <w:rPr>
          <w:rFonts w:hint="eastAsia"/>
          <w:b w:val="0"/>
          <w:bCs/>
          <w:color w:val="auto"/>
          <w:sz w:val="21"/>
          <w:szCs w:val="32"/>
          <w:highlight w:val="none"/>
        </w:rPr>
        <w:t>A</w:t>
      </w:r>
      <w:r>
        <w:rPr>
          <w:rFonts w:hint="eastAsia" w:ascii="Times New Roman" w:hAnsi="Times New Roman" w:eastAsia="黑体" w:cs="Times New Roman"/>
          <w:b w:val="0"/>
          <w:bCs/>
          <w:color w:val="auto"/>
          <w:sz w:val="21"/>
          <w:szCs w:val="32"/>
          <w:highlight w:val="none"/>
        </w:rPr>
        <w:t>.0.</w:t>
      </w:r>
      <w:r>
        <w:rPr>
          <w:rFonts w:hint="eastAsia"/>
          <w:b w:val="0"/>
          <w:bCs/>
          <w:color w:val="auto"/>
          <w:sz w:val="21"/>
          <w:szCs w:val="32"/>
          <w:highlight w:val="none"/>
        </w:rPr>
        <w:t xml:space="preserve">6  </w:t>
      </w:r>
      <w:r>
        <w:rPr>
          <w:rFonts w:hint="eastAsia"/>
          <w:color w:val="auto"/>
          <w:sz w:val="21"/>
          <w:szCs w:val="32"/>
          <w:highlight w:val="none"/>
        </w:rPr>
        <w:t>模块单元机电质量验收记录表</w:t>
      </w:r>
      <w:bookmarkEnd w:id="1697"/>
      <w:bookmarkEnd w:id="1698"/>
    </w:p>
    <w:p>
      <w:pPr>
        <w:autoSpaceDE w:val="0"/>
        <w:autoSpaceDN w:val="0"/>
        <w:adjustRightInd w:val="0"/>
        <w:ind w:left="190"/>
        <w:jc w:val="center"/>
        <w:rPr>
          <w:rFonts w:eastAsia="仿宋"/>
          <w:b/>
          <w:bCs/>
          <w:color w:val="auto"/>
          <w:spacing w:val="0"/>
          <w:kern w:val="0"/>
          <w:szCs w:val="24"/>
          <w:highlight w:val="none"/>
        </w:rPr>
      </w:pPr>
      <w:r>
        <w:rPr>
          <w:rFonts w:eastAsia="仿宋"/>
          <w:b/>
          <w:bCs/>
          <w:color w:val="auto"/>
          <w:spacing w:val="0"/>
          <w:kern w:val="0"/>
          <w:szCs w:val="24"/>
          <w:highlight w:val="none"/>
        </w:rPr>
        <w:t>表A</w:t>
      </w:r>
      <w:r>
        <w:rPr>
          <w:rFonts w:hint="default" w:ascii="Times New Roman" w:hAnsi="Times New Roman" w:eastAsia="仿宋" w:cs="Times New Roman"/>
          <w:b/>
          <w:bCs/>
          <w:color w:val="auto"/>
          <w:spacing w:val="0"/>
          <w:kern w:val="0"/>
          <w:szCs w:val="24"/>
          <w:highlight w:val="none"/>
        </w:rPr>
        <w:t>.0.</w:t>
      </w:r>
      <w:r>
        <w:rPr>
          <w:rFonts w:eastAsia="仿宋"/>
          <w:b/>
          <w:bCs/>
          <w:color w:val="auto"/>
          <w:spacing w:val="0"/>
          <w:kern w:val="0"/>
          <w:szCs w:val="24"/>
          <w:highlight w:val="none"/>
        </w:rPr>
        <w:t>6  模块单元机电质量验收记录表</w:t>
      </w:r>
    </w:p>
    <w:p>
      <w:pPr>
        <w:spacing w:line="39" w:lineRule="exact"/>
        <w:rPr>
          <w:color w:val="auto"/>
          <w:highlight w:val="none"/>
        </w:rPr>
      </w:pPr>
    </w:p>
    <w:tbl>
      <w:tblPr>
        <w:tblStyle w:val="24"/>
        <w:tblW w:w="10038" w:type="dxa"/>
        <w:jc w:val="center"/>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fixed"/>
        <w:tblCellMar>
          <w:top w:w="0" w:type="dxa"/>
          <w:left w:w="0" w:type="dxa"/>
          <w:bottom w:w="0" w:type="dxa"/>
          <w:right w:w="0" w:type="dxa"/>
        </w:tblCellMar>
      </w:tblPr>
      <w:tblGrid>
        <w:gridCol w:w="605"/>
        <w:gridCol w:w="1897"/>
        <w:gridCol w:w="844"/>
        <w:gridCol w:w="415"/>
        <w:gridCol w:w="1377"/>
        <w:gridCol w:w="1220"/>
        <w:gridCol w:w="334"/>
        <w:gridCol w:w="886"/>
        <w:gridCol w:w="1220"/>
        <w:gridCol w:w="1240"/>
      </w:tblGrid>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2502" w:type="dxa"/>
            <w:gridSpan w:val="2"/>
            <w:vAlign w:val="center"/>
          </w:tcPr>
          <w:p>
            <w:pPr>
              <w:jc w:val="center"/>
              <w:rPr>
                <w:rFonts w:eastAsia="仿宋"/>
                <w:color w:val="auto"/>
                <w:szCs w:val="21"/>
                <w:highlight w:val="none"/>
              </w:rPr>
            </w:pPr>
            <w:r>
              <w:rPr>
                <w:rFonts w:eastAsia="仿宋"/>
                <w:color w:val="auto"/>
                <w:spacing w:val="3"/>
                <w:szCs w:val="21"/>
                <w:highlight w:val="none"/>
              </w:rPr>
              <w:t>工程名称</w:t>
            </w:r>
          </w:p>
        </w:tc>
        <w:tc>
          <w:tcPr>
            <w:tcW w:w="7536" w:type="dxa"/>
            <w:gridSpan w:val="8"/>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2502" w:type="dxa"/>
            <w:gridSpan w:val="2"/>
            <w:vAlign w:val="center"/>
          </w:tcPr>
          <w:p>
            <w:pPr>
              <w:jc w:val="center"/>
              <w:rPr>
                <w:rFonts w:eastAsia="仿宋"/>
                <w:color w:val="auto"/>
                <w:szCs w:val="21"/>
                <w:highlight w:val="none"/>
              </w:rPr>
            </w:pPr>
            <w:r>
              <w:rPr>
                <w:rFonts w:eastAsia="仿宋"/>
                <w:color w:val="auto"/>
                <w:spacing w:val="7"/>
                <w:szCs w:val="21"/>
                <w:highlight w:val="none"/>
              </w:rPr>
              <w:t>模块单元编号</w:t>
            </w:r>
          </w:p>
        </w:tc>
        <w:tc>
          <w:tcPr>
            <w:tcW w:w="3856" w:type="dxa"/>
            <w:gridSpan w:val="4"/>
            <w:vAlign w:val="center"/>
          </w:tcPr>
          <w:p>
            <w:pPr>
              <w:jc w:val="center"/>
              <w:rPr>
                <w:rFonts w:eastAsia="仿宋"/>
                <w:color w:val="auto"/>
                <w:szCs w:val="21"/>
                <w:highlight w:val="none"/>
              </w:rPr>
            </w:pPr>
          </w:p>
        </w:tc>
        <w:tc>
          <w:tcPr>
            <w:tcW w:w="1220" w:type="dxa"/>
            <w:gridSpan w:val="2"/>
            <w:vAlign w:val="center"/>
          </w:tcPr>
          <w:p>
            <w:pPr>
              <w:jc w:val="center"/>
              <w:rPr>
                <w:rFonts w:eastAsia="仿宋"/>
                <w:color w:val="auto"/>
                <w:szCs w:val="21"/>
                <w:highlight w:val="none"/>
              </w:rPr>
            </w:pPr>
            <w:r>
              <w:rPr>
                <w:rFonts w:eastAsia="仿宋"/>
                <w:color w:val="auto"/>
                <w:spacing w:val="5"/>
                <w:szCs w:val="21"/>
                <w:highlight w:val="none"/>
              </w:rPr>
              <w:t>产品编号</w:t>
            </w:r>
          </w:p>
        </w:tc>
        <w:tc>
          <w:tcPr>
            <w:tcW w:w="2460" w:type="dxa"/>
            <w:gridSpan w:val="2"/>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2502" w:type="dxa"/>
            <w:gridSpan w:val="2"/>
            <w:vAlign w:val="center"/>
          </w:tcPr>
          <w:p>
            <w:pPr>
              <w:jc w:val="center"/>
              <w:rPr>
                <w:rFonts w:eastAsia="仿宋"/>
                <w:color w:val="auto"/>
                <w:szCs w:val="21"/>
                <w:highlight w:val="none"/>
              </w:rPr>
            </w:pPr>
            <w:r>
              <w:rPr>
                <w:rFonts w:eastAsia="仿宋"/>
                <w:color w:val="auto"/>
                <w:spacing w:val="5"/>
                <w:szCs w:val="21"/>
                <w:highlight w:val="none"/>
              </w:rPr>
              <w:t>制造批次</w:t>
            </w:r>
          </w:p>
        </w:tc>
        <w:tc>
          <w:tcPr>
            <w:tcW w:w="3856" w:type="dxa"/>
            <w:gridSpan w:val="4"/>
            <w:vAlign w:val="center"/>
          </w:tcPr>
          <w:p>
            <w:pPr>
              <w:jc w:val="center"/>
              <w:rPr>
                <w:rFonts w:eastAsia="仿宋"/>
                <w:color w:val="auto"/>
                <w:szCs w:val="21"/>
                <w:highlight w:val="none"/>
              </w:rPr>
            </w:pPr>
          </w:p>
        </w:tc>
        <w:tc>
          <w:tcPr>
            <w:tcW w:w="1220" w:type="dxa"/>
            <w:gridSpan w:val="2"/>
            <w:vAlign w:val="center"/>
          </w:tcPr>
          <w:p>
            <w:pPr>
              <w:jc w:val="center"/>
              <w:rPr>
                <w:rFonts w:eastAsia="仿宋"/>
                <w:color w:val="auto"/>
                <w:szCs w:val="21"/>
                <w:highlight w:val="none"/>
              </w:rPr>
            </w:pPr>
            <w:r>
              <w:rPr>
                <w:rFonts w:eastAsia="仿宋"/>
                <w:color w:val="auto"/>
                <w:spacing w:val="5"/>
                <w:szCs w:val="21"/>
                <w:highlight w:val="none"/>
              </w:rPr>
              <w:t>检查日期</w:t>
            </w:r>
          </w:p>
        </w:tc>
        <w:tc>
          <w:tcPr>
            <w:tcW w:w="2460" w:type="dxa"/>
            <w:gridSpan w:val="2"/>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33" w:hRule="atLeast"/>
          <w:jc w:val="center"/>
        </w:trPr>
        <w:tc>
          <w:tcPr>
            <w:tcW w:w="3761" w:type="dxa"/>
            <w:gridSpan w:val="4"/>
            <w:vMerge w:val="restart"/>
            <w:tcBorders>
              <w:bottom w:val="nil"/>
            </w:tcBorders>
            <w:vAlign w:val="center"/>
          </w:tcPr>
          <w:p>
            <w:pPr>
              <w:jc w:val="center"/>
              <w:rPr>
                <w:rFonts w:eastAsia="仿宋"/>
                <w:color w:val="auto"/>
                <w:szCs w:val="21"/>
                <w:highlight w:val="none"/>
              </w:rPr>
            </w:pPr>
            <w:r>
              <w:rPr>
                <w:rFonts w:eastAsia="仿宋"/>
                <w:color w:val="auto"/>
                <w:spacing w:val="9"/>
                <w:szCs w:val="21"/>
                <w:highlight w:val="none"/>
              </w:rPr>
              <w:t>检查项目及内容</w:t>
            </w:r>
          </w:p>
        </w:tc>
        <w:tc>
          <w:tcPr>
            <w:tcW w:w="1377" w:type="dxa"/>
            <w:vMerge w:val="restart"/>
            <w:tcBorders>
              <w:bottom w:val="nil"/>
            </w:tcBorders>
            <w:vAlign w:val="center"/>
          </w:tcPr>
          <w:p>
            <w:pPr>
              <w:jc w:val="center"/>
              <w:rPr>
                <w:rFonts w:eastAsia="仿宋"/>
                <w:color w:val="auto"/>
                <w:szCs w:val="21"/>
                <w:highlight w:val="none"/>
              </w:rPr>
            </w:pPr>
            <w:r>
              <w:rPr>
                <w:rFonts w:eastAsia="仿宋"/>
                <w:color w:val="auto"/>
                <w:spacing w:val="6"/>
                <w:szCs w:val="21"/>
                <w:highlight w:val="none"/>
              </w:rPr>
              <w:t>设计要求及</w:t>
            </w:r>
            <w:r>
              <w:rPr>
                <w:rFonts w:eastAsia="仿宋"/>
                <w:color w:val="auto"/>
                <w:spacing w:val="5"/>
                <w:szCs w:val="21"/>
                <w:highlight w:val="none"/>
              </w:rPr>
              <w:t>规范规定</w:t>
            </w:r>
          </w:p>
        </w:tc>
        <w:tc>
          <w:tcPr>
            <w:tcW w:w="4900" w:type="dxa"/>
            <w:gridSpan w:val="5"/>
            <w:vAlign w:val="center"/>
          </w:tcPr>
          <w:p>
            <w:pPr>
              <w:jc w:val="center"/>
              <w:rPr>
                <w:rFonts w:eastAsia="仿宋"/>
                <w:color w:val="auto"/>
                <w:szCs w:val="21"/>
                <w:highlight w:val="none"/>
              </w:rPr>
            </w:pPr>
            <w:r>
              <w:rPr>
                <w:rFonts w:eastAsia="仿宋"/>
                <w:color w:val="auto"/>
                <w:spacing w:val="-2"/>
                <w:szCs w:val="21"/>
                <w:highlight w:val="none"/>
              </w:rPr>
              <w:t>检查</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3761" w:type="dxa"/>
            <w:gridSpan w:val="4"/>
            <w:vMerge w:val="continue"/>
            <w:tcBorders>
              <w:top w:val="nil"/>
            </w:tcBorders>
            <w:vAlign w:val="center"/>
          </w:tcPr>
          <w:p>
            <w:pPr>
              <w:jc w:val="center"/>
              <w:rPr>
                <w:rFonts w:eastAsia="仿宋"/>
                <w:color w:val="auto"/>
                <w:szCs w:val="21"/>
                <w:highlight w:val="none"/>
              </w:rPr>
            </w:pPr>
          </w:p>
        </w:tc>
        <w:tc>
          <w:tcPr>
            <w:tcW w:w="1377" w:type="dxa"/>
            <w:vMerge w:val="continue"/>
            <w:tcBorders>
              <w:top w:val="nil"/>
            </w:tcBorders>
            <w:vAlign w:val="center"/>
          </w:tcPr>
          <w:p>
            <w:pPr>
              <w:jc w:val="center"/>
              <w:rPr>
                <w:rFonts w:eastAsia="仿宋"/>
                <w:color w:val="auto"/>
                <w:szCs w:val="21"/>
                <w:highlight w:val="none"/>
              </w:rPr>
            </w:pPr>
          </w:p>
        </w:tc>
        <w:tc>
          <w:tcPr>
            <w:tcW w:w="2440" w:type="dxa"/>
            <w:gridSpan w:val="3"/>
            <w:vAlign w:val="center"/>
          </w:tcPr>
          <w:p>
            <w:pPr>
              <w:jc w:val="center"/>
              <w:rPr>
                <w:rFonts w:eastAsia="仿宋"/>
                <w:color w:val="auto"/>
                <w:szCs w:val="21"/>
                <w:highlight w:val="none"/>
              </w:rPr>
            </w:pPr>
            <w:r>
              <w:rPr>
                <w:rFonts w:hint="eastAsia" w:eastAsia="仿宋"/>
                <w:color w:val="auto"/>
                <w:spacing w:val="-2"/>
                <w:szCs w:val="21"/>
                <w:highlight w:val="none"/>
              </w:rPr>
              <w:t>检验结果</w:t>
            </w:r>
          </w:p>
        </w:tc>
        <w:tc>
          <w:tcPr>
            <w:tcW w:w="1220" w:type="dxa"/>
            <w:vAlign w:val="center"/>
          </w:tcPr>
          <w:p>
            <w:pPr>
              <w:jc w:val="center"/>
              <w:rPr>
                <w:rFonts w:eastAsia="仿宋"/>
                <w:color w:val="auto"/>
                <w:szCs w:val="21"/>
                <w:highlight w:val="none"/>
              </w:rPr>
            </w:pPr>
            <w:r>
              <w:rPr>
                <w:rFonts w:eastAsia="仿宋"/>
                <w:color w:val="auto"/>
                <w:spacing w:val="6"/>
                <w:szCs w:val="21"/>
                <w:highlight w:val="none"/>
              </w:rPr>
              <w:t>质量检查员</w:t>
            </w:r>
          </w:p>
        </w:tc>
        <w:tc>
          <w:tcPr>
            <w:tcW w:w="1240" w:type="dxa"/>
            <w:vAlign w:val="center"/>
          </w:tcPr>
          <w:p>
            <w:pPr>
              <w:jc w:val="center"/>
              <w:rPr>
                <w:rFonts w:eastAsia="仿宋"/>
                <w:color w:val="auto"/>
                <w:szCs w:val="21"/>
                <w:highlight w:val="none"/>
              </w:rPr>
            </w:pPr>
            <w:r>
              <w:rPr>
                <w:rFonts w:eastAsia="仿宋"/>
                <w:color w:val="auto"/>
                <w:spacing w:val="6"/>
                <w:szCs w:val="21"/>
                <w:highlight w:val="none"/>
              </w:rPr>
              <w:t>质量复核人</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10038" w:type="dxa"/>
            <w:gridSpan w:val="10"/>
            <w:vAlign w:val="center"/>
          </w:tcPr>
          <w:p>
            <w:pPr>
              <w:jc w:val="center"/>
              <w:rPr>
                <w:rFonts w:eastAsia="仿宋"/>
                <w:color w:val="auto"/>
                <w:szCs w:val="21"/>
                <w:highlight w:val="none"/>
              </w:rPr>
            </w:pPr>
            <w:r>
              <w:rPr>
                <w:rFonts w:eastAsia="仿宋"/>
                <w:color w:val="auto"/>
                <w:spacing w:val="9"/>
                <w:szCs w:val="21"/>
                <w:highlight w:val="none"/>
              </w:rPr>
              <w:t>给水系统验收标准</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605" w:type="dxa"/>
            <w:vMerge w:val="restart"/>
            <w:tcBorders>
              <w:bottom w:val="nil"/>
            </w:tcBorders>
            <w:vAlign w:val="center"/>
          </w:tcPr>
          <w:p>
            <w:pPr>
              <w:pStyle w:val="79"/>
              <w:jc w:val="center"/>
              <w:rPr>
                <w:rFonts w:eastAsia="仿宋"/>
                <w:color w:val="auto"/>
                <w:sz w:val="21"/>
                <w:szCs w:val="21"/>
                <w:highlight w:val="none"/>
              </w:rPr>
            </w:pPr>
            <w:r>
              <w:rPr>
                <w:rFonts w:eastAsia="仿宋"/>
                <w:color w:val="auto"/>
                <w:sz w:val="21"/>
                <w:szCs w:val="21"/>
                <w:highlight w:val="none"/>
              </w:rPr>
              <w:t>1</w:t>
            </w:r>
          </w:p>
        </w:tc>
        <w:tc>
          <w:tcPr>
            <w:tcW w:w="3156" w:type="dxa"/>
            <w:gridSpan w:val="3"/>
            <w:vAlign w:val="center"/>
          </w:tcPr>
          <w:p>
            <w:pPr>
              <w:jc w:val="center"/>
              <w:rPr>
                <w:rFonts w:eastAsia="仿宋"/>
                <w:color w:val="auto"/>
                <w:szCs w:val="21"/>
                <w:highlight w:val="none"/>
              </w:rPr>
            </w:pPr>
            <w:r>
              <w:rPr>
                <w:rFonts w:eastAsia="仿宋"/>
                <w:color w:val="auto"/>
                <w:spacing w:val="5"/>
                <w:szCs w:val="21"/>
                <w:highlight w:val="none"/>
              </w:rPr>
              <w:t>原材料检验情况</w:t>
            </w:r>
          </w:p>
        </w:tc>
        <w:tc>
          <w:tcPr>
            <w:tcW w:w="1377" w:type="dxa"/>
            <w:vMerge w:val="restart"/>
            <w:tcBorders>
              <w:bottom w:val="nil"/>
            </w:tcBorders>
            <w:vAlign w:val="center"/>
          </w:tcPr>
          <w:p>
            <w:pPr>
              <w:jc w:val="center"/>
              <w:rPr>
                <w:rFonts w:eastAsia="仿宋"/>
                <w:color w:val="auto"/>
                <w:szCs w:val="21"/>
                <w:highlight w:val="none"/>
              </w:rPr>
            </w:pPr>
          </w:p>
        </w:tc>
        <w:tc>
          <w:tcPr>
            <w:tcW w:w="2440" w:type="dxa"/>
            <w:gridSpan w:val="3"/>
            <w:vAlign w:val="center"/>
          </w:tcPr>
          <w:p>
            <w:pPr>
              <w:jc w:val="center"/>
              <w:rPr>
                <w:rFonts w:eastAsia="仿宋"/>
                <w:color w:val="auto"/>
                <w:szCs w:val="21"/>
                <w:highlight w:val="none"/>
              </w:rPr>
            </w:pPr>
          </w:p>
        </w:tc>
        <w:tc>
          <w:tcPr>
            <w:tcW w:w="1220" w:type="dxa"/>
            <w:vAlign w:val="center"/>
          </w:tcPr>
          <w:p>
            <w:pPr>
              <w:jc w:val="center"/>
              <w:rPr>
                <w:rFonts w:eastAsia="仿宋"/>
                <w:color w:val="auto"/>
                <w:szCs w:val="21"/>
                <w:highlight w:val="none"/>
              </w:rPr>
            </w:pPr>
          </w:p>
        </w:tc>
        <w:tc>
          <w:tcPr>
            <w:tcW w:w="1240" w:type="dxa"/>
            <w:vMerge w:val="restart"/>
            <w:tcBorders>
              <w:bottom w:val="nil"/>
            </w:tcBorders>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605" w:type="dxa"/>
            <w:vMerge w:val="continue"/>
            <w:tcBorders>
              <w:top w:val="nil"/>
              <w:bottom w:val="nil"/>
            </w:tcBorders>
            <w:vAlign w:val="center"/>
          </w:tcPr>
          <w:p>
            <w:pPr>
              <w:jc w:val="center"/>
              <w:rPr>
                <w:rFonts w:eastAsia="仿宋"/>
                <w:color w:val="auto"/>
                <w:szCs w:val="21"/>
                <w:highlight w:val="none"/>
              </w:rPr>
            </w:pPr>
          </w:p>
        </w:tc>
        <w:tc>
          <w:tcPr>
            <w:tcW w:w="3156" w:type="dxa"/>
            <w:gridSpan w:val="3"/>
            <w:vAlign w:val="center"/>
          </w:tcPr>
          <w:p>
            <w:pPr>
              <w:jc w:val="center"/>
              <w:rPr>
                <w:rFonts w:eastAsia="仿宋"/>
                <w:color w:val="auto"/>
                <w:szCs w:val="21"/>
                <w:highlight w:val="none"/>
              </w:rPr>
            </w:pPr>
            <w:r>
              <w:rPr>
                <w:rFonts w:eastAsia="仿宋"/>
                <w:color w:val="auto"/>
                <w:spacing w:val="3"/>
                <w:szCs w:val="21"/>
                <w:highlight w:val="none"/>
              </w:rPr>
              <w:t>成品质量</w:t>
            </w:r>
          </w:p>
        </w:tc>
        <w:tc>
          <w:tcPr>
            <w:tcW w:w="1377" w:type="dxa"/>
            <w:vMerge w:val="continue"/>
            <w:tcBorders>
              <w:top w:val="nil"/>
              <w:bottom w:val="nil"/>
            </w:tcBorders>
            <w:vAlign w:val="center"/>
          </w:tcPr>
          <w:p>
            <w:pPr>
              <w:jc w:val="center"/>
              <w:rPr>
                <w:rFonts w:eastAsia="仿宋"/>
                <w:color w:val="auto"/>
                <w:szCs w:val="21"/>
                <w:highlight w:val="none"/>
              </w:rPr>
            </w:pPr>
          </w:p>
        </w:tc>
        <w:tc>
          <w:tcPr>
            <w:tcW w:w="2440" w:type="dxa"/>
            <w:gridSpan w:val="3"/>
            <w:vAlign w:val="center"/>
          </w:tcPr>
          <w:p>
            <w:pPr>
              <w:jc w:val="center"/>
              <w:rPr>
                <w:rFonts w:eastAsia="仿宋"/>
                <w:color w:val="auto"/>
                <w:szCs w:val="21"/>
                <w:highlight w:val="none"/>
              </w:rPr>
            </w:pPr>
          </w:p>
        </w:tc>
        <w:tc>
          <w:tcPr>
            <w:tcW w:w="1220" w:type="dxa"/>
            <w:vAlign w:val="center"/>
          </w:tcPr>
          <w:p>
            <w:pPr>
              <w:jc w:val="center"/>
              <w:rPr>
                <w:rFonts w:eastAsia="仿宋"/>
                <w:color w:val="auto"/>
                <w:szCs w:val="21"/>
                <w:highlight w:val="none"/>
              </w:rPr>
            </w:pPr>
          </w:p>
        </w:tc>
        <w:tc>
          <w:tcPr>
            <w:tcW w:w="1240" w:type="dxa"/>
            <w:vMerge w:val="continue"/>
            <w:tcBorders>
              <w:top w:val="nil"/>
              <w:bottom w:val="nil"/>
            </w:tcBorders>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605" w:type="dxa"/>
            <w:vMerge w:val="continue"/>
            <w:tcBorders>
              <w:top w:val="nil"/>
              <w:bottom w:val="nil"/>
            </w:tcBorders>
            <w:vAlign w:val="center"/>
          </w:tcPr>
          <w:p>
            <w:pPr>
              <w:jc w:val="center"/>
              <w:rPr>
                <w:rFonts w:eastAsia="仿宋"/>
                <w:color w:val="auto"/>
                <w:szCs w:val="21"/>
                <w:highlight w:val="none"/>
              </w:rPr>
            </w:pPr>
          </w:p>
        </w:tc>
        <w:tc>
          <w:tcPr>
            <w:tcW w:w="3156" w:type="dxa"/>
            <w:gridSpan w:val="3"/>
            <w:vAlign w:val="center"/>
          </w:tcPr>
          <w:p>
            <w:pPr>
              <w:jc w:val="center"/>
              <w:rPr>
                <w:rFonts w:eastAsia="仿宋"/>
                <w:color w:val="auto"/>
                <w:szCs w:val="21"/>
                <w:highlight w:val="none"/>
              </w:rPr>
            </w:pPr>
            <w:r>
              <w:rPr>
                <w:rFonts w:eastAsia="仿宋"/>
                <w:color w:val="auto"/>
                <w:spacing w:val="5"/>
                <w:szCs w:val="21"/>
                <w:highlight w:val="none"/>
              </w:rPr>
              <w:t>给水系统试验</w:t>
            </w:r>
          </w:p>
        </w:tc>
        <w:tc>
          <w:tcPr>
            <w:tcW w:w="1377" w:type="dxa"/>
            <w:vMerge w:val="continue"/>
            <w:tcBorders>
              <w:top w:val="nil"/>
              <w:bottom w:val="nil"/>
            </w:tcBorders>
            <w:vAlign w:val="center"/>
          </w:tcPr>
          <w:p>
            <w:pPr>
              <w:jc w:val="center"/>
              <w:rPr>
                <w:rFonts w:eastAsia="仿宋"/>
                <w:color w:val="auto"/>
                <w:szCs w:val="21"/>
                <w:highlight w:val="none"/>
              </w:rPr>
            </w:pPr>
          </w:p>
        </w:tc>
        <w:tc>
          <w:tcPr>
            <w:tcW w:w="2440" w:type="dxa"/>
            <w:gridSpan w:val="3"/>
            <w:vAlign w:val="center"/>
          </w:tcPr>
          <w:p>
            <w:pPr>
              <w:jc w:val="center"/>
              <w:rPr>
                <w:rFonts w:eastAsia="仿宋"/>
                <w:color w:val="auto"/>
                <w:szCs w:val="21"/>
                <w:highlight w:val="none"/>
              </w:rPr>
            </w:pPr>
          </w:p>
        </w:tc>
        <w:tc>
          <w:tcPr>
            <w:tcW w:w="1220" w:type="dxa"/>
            <w:vAlign w:val="center"/>
          </w:tcPr>
          <w:p>
            <w:pPr>
              <w:jc w:val="center"/>
              <w:rPr>
                <w:rFonts w:eastAsia="仿宋"/>
                <w:color w:val="auto"/>
                <w:szCs w:val="21"/>
                <w:highlight w:val="none"/>
              </w:rPr>
            </w:pPr>
          </w:p>
        </w:tc>
        <w:tc>
          <w:tcPr>
            <w:tcW w:w="1240" w:type="dxa"/>
            <w:vMerge w:val="continue"/>
            <w:tcBorders>
              <w:top w:val="nil"/>
              <w:bottom w:val="nil"/>
            </w:tcBorders>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605" w:type="dxa"/>
            <w:vMerge w:val="continue"/>
            <w:tcBorders>
              <w:top w:val="nil"/>
            </w:tcBorders>
            <w:vAlign w:val="center"/>
          </w:tcPr>
          <w:p>
            <w:pPr>
              <w:jc w:val="center"/>
              <w:rPr>
                <w:rFonts w:eastAsia="仿宋"/>
                <w:color w:val="auto"/>
                <w:szCs w:val="21"/>
                <w:highlight w:val="none"/>
              </w:rPr>
            </w:pPr>
          </w:p>
        </w:tc>
        <w:tc>
          <w:tcPr>
            <w:tcW w:w="3156" w:type="dxa"/>
            <w:gridSpan w:val="3"/>
            <w:vAlign w:val="center"/>
          </w:tcPr>
          <w:p>
            <w:pPr>
              <w:jc w:val="center"/>
              <w:rPr>
                <w:rFonts w:eastAsia="仿宋"/>
                <w:color w:val="auto"/>
                <w:szCs w:val="21"/>
                <w:highlight w:val="none"/>
              </w:rPr>
            </w:pPr>
            <w:r>
              <w:rPr>
                <w:rFonts w:eastAsia="仿宋"/>
                <w:color w:val="auto"/>
                <w:spacing w:val="-2"/>
                <w:szCs w:val="21"/>
                <w:highlight w:val="none"/>
              </w:rPr>
              <w:t>隐蔽验收</w:t>
            </w:r>
          </w:p>
        </w:tc>
        <w:tc>
          <w:tcPr>
            <w:tcW w:w="1377" w:type="dxa"/>
            <w:vMerge w:val="continue"/>
            <w:tcBorders>
              <w:top w:val="nil"/>
            </w:tcBorders>
            <w:vAlign w:val="center"/>
          </w:tcPr>
          <w:p>
            <w:pPr>
              <w:jc w:val="center"/>
              <w:rPr>
                <w:rFonts w:eastAsia="仿宋"/>
                <w:color w:val="auto"/>
                <w:szCs w:val="21"/>
                <w:highlight w:val="none"/>
              </w:rPr>
            </w:pPr>
          </w:p>
        </w:tc>
        <w:tc>
          <w:tcPr>
            <w:tcW w:w="2440" w:type="dxa"/>
            <w:gridSpan w:val="3"/>
            <w:vAlign w:val="center"/>
          </w:tcPr>
          <w:p>
            <w:pPr>
              <w:jc w:val="center"/>
              <w:rPr>
                <w:rFonts w:eastAsia="仿宋"/>
                <w:color w:val="auto"/>
                <w:szCs w:val="21"/>
                <w:highlight w:val="none"/>
              </w:rPr>
            </w:pPr>
          </w:p>
        </w:tc>
        <w:tc>
          <w:tcPr>
            <w:tcW w:w="1220" w:type="dxa"/>
            <w:vAlign w:val="center"/>
          </w:tcPr>
          <w:p>
            <w:pPr>
              <w:jc w:val="center"/>
              <w:rPr>
                <w:rFonts w:eastAsia="仿宋"/>
                <w:color w:val="auto"/>
                <w:szCs w:val="21"/>
                <w:highlight w:val="none"/>
              </w:rPr>
            </w:pPr>
          </w:p>
        </w:tc>
        <w:tc>
          <w:tcPr>
            <w:tcW w:w="1240" w:type="dxa"/>
            <w:vMerge w:val="continue"/>
            <w:tcBorders>
              <w:top w:val="nil"/>
            </w:tcBorders>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10038" w:type="dxa"/>
            <w:gridSpan w:val="10"/>
            <w:vAlign w:val="center"/>
          </w:tcPr>
          <w:p>
            <w:pPr>
              <w:jc w:val="center"/>
              <w:rPr>
                <w:rFonts w:eastAsia="仿宋"/>
                <w:color w:val="auto"/>
                <w:szCs w:val="21"/>
                <w:highlight w:val="none"/>
              </w:rPr>
            </w:pPr>
            <w:r>
              <w:rPr>
                <w:rFonts w:eastAsia="仿宋"/>
                <w:color w:val="auto"/>
                <w:spacing w:val="9"/>
                <w:szCs w:val="21"/>
                <w:highlight w:val="none"/>
              </w:rPr>
              <w:t>排水系统验收标准</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605" w:type="dxa"/>
            <w:vMerge w:val="restart"/>
            <w:tcBorders>
              <w:bottom w:val="nil"/>
            </w:tcBorders>
            <w:vAlign w:val="center"/>
          </w:tcPr>
          <w:p>
            <w:pPr>
              <w:pStyle w:val="79"/>
              <w:jc w:val="center"/>
              <w:rPr>
                <w:rFonts w:eastAsia="仿宋"/>
                <w:color w:val="auto"/>
                <w:sz w:val="21"/>
                <w:szCs w:val="21"/>
                <w:highlight w:val="none"/>
              </w:rPr>
            </w:pPr>
            <w:r>
              <w:rPr>
                <w:rFonts w:eastAsia="仿宋"/>
                <w:color w:val="auto"/>
                <w:sz w:val="21"/>
                <w:szCs w:val="21"/>
                <w:highlight w:val="none"/>
              </w:rPr>
              <w:t>2</w:t>
            </w:r>
          </w:p>
        </w:tc>
        <w:tc>
          <w:tcPr>
            <w:tcW w:w="3156" w:type="dxa"/>
            <w:gridSpan w:val="3"/>
            <w:vAlign w:val="center"/>
          </w:tcPr>
          <w:p>
            <w:pPr>
              <w:jc w:val="center"/>
              <w:rPr>
                <w:rFonts w:eastAsia="仿宋"/>
                <w:color w:val="auto"/>
                <w:szCs w:val="21"/>
                <w:highlight w:val="none"/>
              </w:rPr>
            </w:pPr>
            <w:r>
              <w:rPr>
                <w:rFonts w:eastAsia="仿宋"/>
                <w:color w:val="auto"/>
                <w:spacing w:val="5"/>
                <w:szCs w:val="21"/>
                <w:highlight w:val="none"/>
              </w:rPr>
              <w:t>原材料检验情况</w:t>
            </w:r>
          </w:p>
        </w:tc>
        <w:tc>
          <w:tcPr>
            <w:tcW w:w="1377" w:type="dxa"/>
            <w:vMerge w:val="restart"/>
            <w:tcBorders>
              <w:bottom w:val="nil"/>
            </w:tcBorders>
            <w:vAlign w:val="center"/>
          </w:tcPr>
          <w:p>
            <w:pPr>
              <w:jc w:val="center"/>
              <w:rPr>
                <w:rFonts w:eastAsia="仿宋"/>
                <w:color w:val="auto"/>
                <w:szCs w:val="21"/>
                <w:highlight w:val="none"/>
              </w:rPr>
            </w:pPr>
          </w:p>
        </w:tc>
        <w:tc>
          <w:tcPr>
            <w:tcW w:w="2440" w:type="dxa"/>
            <w:gridSpan w:val="3"/>
            <w:vAlign w:val="center"/>
          </w:tcPr>
          <w:p>
            <w:pPr>
              <w:jc w:val="center"/>
              <w:rPr>
                <w:rFonts w:eastAsia="仿宋"/>
                <w:color w:val="auto"/>
                <w:szCs w:val="21"/>
                <w:highlight w:val="none"/>
              </w:rPr>
            </w:pPr>
          </w:p>
        </w:tc>
        <w:tc>
          <w:tcPr>
            <w:tcW w:w="1220" w:type="dxa"/>
            <w:vAlign w:val="center"/>
          </w:tcPr>
          <w:p>
            <w:pPr>
              <w:jc w:val="center"/>
              <w:rPr>
                <w:rFonts w:eastAsia="仿宋"/>
                <w:color w:val="auto"/>
                <w:szCs w:val="21"/>
                <w:highlight w:val="none"/>
              </w:rPr>
            </w:pPr>
          </w:p>
        </w:tc>
        <w:tc>
          <w:tcPr>
            <w:tcW w:w="1240" w:type="dxa"/>
            <w:vMerge w:val="restart"/>
            <w:tcBorders>
              <w:bottom w:val="nil"/>
            </w:tcBorders>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05" w:type="dxa"/>
            <w:vMerge w:val="continue"/>
            <w:tcBorders>
              <w:top w:val="nil"/>
              <w:bottom w:val="nil"/>
            </w:tcBorders>
            <w:vAlign w:val="center"/>
          </w:tcPr>
          <w:p>
            <w:pPr>
              <w:jc w:val="center"/>
              <w:rPr>
                <w:rFonts w:eastAsia="仿宋"/>
                <w:color w:val="auto"/>
                <w:szCs w:val="21"/>
                <w:highlight w:val="none"/>
              </w:rPr>
            </w:pPr>
          </w:p>
        </w:tc>
        <w:tc>
          <w:tcPr>
            <w:tcW w:w="3156" w:type="dxa"/>
            <w:gridSpan w:val="3"/>
            <w:vAlign w:val="center"/>
          </w:tcPr>
          <w:p>
            <w:pPr>
              <w:jc w:val="center"/>
              <w:rPr>
                <w:rFonts w:eastAsia="仿宋"/>
                <w:color w:val="auto"/>
                <w:szCs w:val="21"/>
                <w:highlight w:val="none"/>
              </w:rPr>
            </w:pPr>
            <w:r>
              <w:rPr>
                <w:rFonts w:eastAsia="仿宋"/>
                <w:color w:val="auto"/>
                <w:spacing w:val="3"/>
                <w:szCs w:val="21"/>
                <w:highlight w:val="none"/>
              </w:rPr>
              <w:t>成品质量</w:t>
            </w:r>
          </w:p>
        </w:tc>
        <w:tc>
          <w:tcPr>
            <w:tcW w:w="1377" w:type="dxa"/>
            <w:vMerge w:val="continue"/>
            <w:tcBorders>
              <w:top w:val="nil"/>
              <w:bottom w:val="nil"/>
            </w:tcBorders>
            <w:vAlign w:val="center"/>
          </w:tcPr>
          <w:p>
            <w:pPr>
              <w:jc w:val="center"/>
              <w:rPr>
                <w:rFonts w:eastAsia="仿宋"/>
                <w:color w:val="auto"/>
                <w:szCs w:val="21"/>
                <w:highlight w:val="none"/>
              </w:rPr>
            </w:pPr>
          </w:p>
        </w:tc>
        <w:tc>
          <w:tcPr>
            <w:tcW w:w="2440" w:type="dxa"/>
            <w:gridSpan w:val="3"/>
            <w:vAlign w:val="center"/>
          </w:tcPr>
          <w:p>
            <w:pPr>
              <w:jc w:val="center"/>
              <w:rPr>
                <w:rFonts w:eastAsia="仿宋"/>
                <w:color w:val="auto"/>
                <w:szCs w:val="21"/>
                <w:highlight w:val="none"/>
              </w:rPr>
            </w:pPr>
          </w:p>
        </w:tc>
        <w:tc>
          <w:tcPr>
            <w:tcW w:w="1220" w:type="dxa"/>
            <w:vAlign w:val="center"/>
          </w:tcPr>
          <w:p>
            <w:pPr>
              <w:jc w:val="center"/>
              <w:rPr>
                <w:rFonts w:eastAsia="仿宋"/>
                <w:color w:val="auto"/>
                <w:szCs w:val="21"/>
                <w:highlight w:val="none"/>
              </w:rPr>
            </w:pPr>
          </w:p>
        </w:tc>
        <w:tc>
          <w:tcPr>
            <w:tcW w:w="1240" w:type="dxa"/>
            <w:vMerge w:val="continue"/>
            <w:tcBorders>
              <w:top w:val="nil"/>
              <w:bottom w:val="nil"/>
            </w:tcBorders>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605" w:type="dxa"/>
            <w:vMerge w:val="continue"/>
            <w:tcBorders>
              <w:top w:val="nil"/>
              <w:bottom w:val="nil"/>
            </w:tcBorders>
            <w:vAlign w:val="center"/>
          </w:tcPr>
          <w:p>
            <w:pPr>
              <w:jc w:val="center"/>
              <w:rPr>
                <w:rFonts w:eastAsia="仿宋"/>
                <w:color w:val="auto"/>
                <w:szCs w:val="21"/>
                <w:highlight w:val="none"/>
              </w:rPr>
            </w:pPr>
          </w:p>
        </w:tc>
        <w:tc>
          <w:tcPr>
            <w:tcW w:w="3156" w:type="dxa"/>
            <w:gridSpan w:val="3"/>
            <w:vAlign w:val="center"/>
          </w:tcPr>
          <w:p>
            <w:pPr>
              <w:jc w:val="center"/>
              <w:rPr>
                <w:rFonts w:eastAsia="仿宋"/>
                <w:color w:val="auto"/>
                <w:szCs w:val="21"/>
                <w:highlight w:val="none"/>
              </w:rPr>
            </w:pPr>
            <w:r>
              <w:rPr>
                <w:rFonts w:eastAsia="仿宋"/>
                <w:color w:val="auto"/>
                <w:spacing w:val="5"/>
                <w:szCs w:val="21"/>
                <w:highlight w:val="none"/>
              </w:rPr>
              <w:t>排水系统试验</w:t>
            </w:r>
          </w:p>
        </w:tc>
        <w:tc>
          <w:tcPr>
            <w:tcW w:w="1377" w:type="dxa"/>
            <w:vMerge w:val="continue"/>
            <w:tcBorders>
              <w:top w:val="nil"/>
              <w:bottom w:val="nil"/>
            </w:tcBorders>
            <w:vAlign w:val="center"/>
          </w:tcPr>
          <w:p>
            <w:pPr>
              <w:jc w:val="center"/>
              <w:rPr>
                <w:rFonts w:eastAsia="仿宋"/>
                <w:color w:val="auto"/>
                <w:szCs w:val="21"/>
                <w:highlight w:val="none"/>
              </w:rPr>
            </w:pPr>
          </w:p>
        </w:tc>
        <w:tc>
          <w:tcPr>
            <w:tcW w:w="2440" w:type="dxa"/>
            <w:gridSpan w:val="3"/>
            <w:vAlign w:val="center"/>
          </w:tcPr>
          <w:p>
            <w:pPr>
              <w:jc w:val="center"/>
              <w:rPr>
                <w:rFonts w:eastAsia="仿宋"/>
                <w:color w:val="auto"/>
                <w:szCs w:val="21"/>
                <w:highlight w:val="none"/>
              </w:rPr>
            </w:pPr>
          </w:p>
        </w:tc>
        <w:tc>
          <w:tcPr>
            <w:tcW w:w="1220" w:type="dxa"/>
            <w:vAlign w:val="center"/>
          </w:tcPr>
          <w:p>
            <w:pPr>
              <w:jc w:val="center"/>
              <w:rPr>
                <w:rFonts w:eastAsia="仿宋"/>
                <w:color w:val="auto"/>
                <w:szCs w:val="21"/>
                <w:highlight w:val="none"/>
              </w:rPr>
            </w:pPr>
          </w:p>
        </w:tc>
        <w:tc>
          <w:tcPr>
            <w:tcW w:w="1240" w:type="dxa"/>
            <w:vMerge w:val="continue"/>
            <w:tcBorders>
              <w:top w:val="nil"/>
              <w:bottom w:val="nil"/>
            </w:tcBorders>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05" w:type="dxa"/>
            <w:vMerge w:val="continue"/>
            <w:tcBorders>
              <w:top w:val="nil"/>
            </w:tcBorders>
            <w:vAlign w:val="center"/>
          </w:tcPr>
          <w:p>
            <w:pPr>
              <w:jc w:val="center"/>
              <w:rPr>
                <w:rFonts w:eastAsia="仿宋"/>
                <w:color w:val="auto"/>
                <w:szCs w:val="21"/>
                <w:highlight w:val="none"/>
              </w:rPr>
            </w:pPr>
          </w:p>
        </w:tc>
        <w:tc>
          <w:tcPr>
            <w:tcW w:w="3156" w:type="dxa"/>
            <w:gridSpan w:val="3"/>
            <w:vAlign w:val="center"/>
          </w:tcPr>
          <w:p>
            <w:pPr>
              <w:jc w:val="center"/>
              <w:rPr>
                <w:rFonts w:eastAsia="仿宋"/>
                <w:color w:val="auto"/>
                <w:szCs w:val="21"/>
                <w:highlight w:val="none"/>
              </w:rPr>
            </w:pPr>
            <w:r>
              <w:rPr>
                <w:rFonts w:eastAsia="仿宋"/>
                <w:color w:val="auto"/>
                <w:spacing w:val="-2"/>
                <w:szCs w:val="21"/>
                <w:highlight w:val="none"/>
              </w:rPr>
              <w:t>隐蔽验收</w:t>
            </w:r>
          </w:p>
        </w:tc>
        <w:tc>
          <w:tcPr>
            <w:tcW w:w="1377" w:type="dxa"/>
            <w:vMerge w:val="continue"/>
            <w:tcBorders>
              <w:top w:val="nil"/>
            </w:tcBorders>
            <w:vAlign w:val="center"/>
          </w:tcPr>
          <w:p>
            <w:pPr>
              <w:jc w:val="center"/>
              <w:rPr>
                <w:rFonts w:eastAsia="仿宋"/>
                <w:color w:val="auto"/>
                <w:szCs w:val="21"/>
                <w:highlight w:val="none"/>
              </w:rPr>
            </w:pPr>
          </w:p>
        </w:tc>
        <w:tc>
          <w:tcPr>
            <w:tcW w:w="2440" w:type="dxa"/>
            <w:gridSpan w:val="3"/>
            <w:vAlign w:val="center"/>
          </w:tcPr>
          <w:p>
            <w:pPr>
              <w:jc w:val="center"/>
              <w:rPr>
                <w:rFonts w:eastAsia="仿宋"/>
                <w:color w:val="auto"/>
                <w:szCs w:val="21"/>
                <w:highlight w:val="none"/>
              </w:rPr>
            </w:pPr>
          </w:p>
        </w:tc>
        <w:tc>
          <w:tcPr>
            <w:tcW w:w="1220" w:type="dxa"/>
            <w:vAlign w:val="center"/>
          </w:tcPr>
          <w:p>
            <w:pPr>
              <w:jc w:val="center"/>
              <w:rPr>
                <w:rFonts w:eastAsia="仿宋"/>
                <w:color w:val="auto"/>
                <w:szCs w:val="21"/>
                <w:highlight w:val="none"/>
              </w:rPr>
            </w:pPr>
          </w:p>
        </w:tc>
        <w:tc>
          <w:tcPr>
            <w:tcW w:w="1240" w:type="dxa"/>
            <w:vMerge w:val="continue"/>
            <w:tcBorders>
              <w:top w:val="nil"/>
            </w:tcBorders>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10038" w:type="dxa"/>
            <w:gridSpan w:val="10"/>
            <w:vAlign w:val="center"/>
          </w:tcPr>
          <w:p>
            <w:pPr>
              <w:jc w:val="center"/>
              <w:rPr>
                <w:rFonts w:eastAsia="仿宋"/>
                <w:color w:val="auto"/>
                <w:szCs w:val="21"/>
                <w:highlight w:val="none"/>
              </w:rPr>
            </w:pPr>
            <w:r>
              <w:rPr>
                <w:rFonts w:eastAsia="仿宋"/>
                <w:color w:val="auto"/>
                <w:spacing w:val="3"/>
                <w:szCs w:val="21"/>
                <w:highlight w:val="none"/>
              </w:rPr>
              <w:t>电气系统验收标准</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05" w:type="dxa"/>
            <w:vMerge w:val="restart"/>
            <w:tcBorders>
              <w:bottom w:val="nil"/>
            </w:tcBorders>
            <w:vAlign w:val="center"/>
          </w:tcPr>
          <w:p>
            <w:pPr>
              <w:pStyle w:val="79"/>
              <w:jc w:val="center"/>
              <w:rPr>
                <w:rFonts w:eastAsia="仿宋"/>
                <w:color w:val="auto"/>
                <w:sz w:val="21"/>
                <w:szCs w:val="21"/>
                <w:highlight w:val="none"/>
              </w:rPr>
            </w:pPr>
            <w:r>
              <w:rPr>
                <w:rFonts w:eastAsia="仿宋"/>
                <w:color w:val="auto"/>
                <w:sz w:val="21"/>
                <w:szCs w:val="21"/>
                <w:highlight w:val="none"/>
              </w:rPr>
              <w:t>3</w:t>
            </w:r>
          </w:p>
        </w:tc>
        <w:tc>
          <w:tcPr>
            <w:tcW w:w="3156" w:type="dxa"/>
            <w:gridSpan w:val="3"/>
            <w:vAlign w:val="center"/>
          </w:tcPr>
          <w:p>
            <w:pPr>
              <w:jc w:val="center"/>
              <w:rPr>
                <w:rFonts w:eastAsia="仿宋"/>
                <w:color w:val="auto"/>
                <w:szCs w:val="21"/>
                <w:highlight w:val="none"/>
              </w:rPr>
            </w:pPr>
            <w:r>
              <w:rPr>
                <w:rFonts w:eastAsia="仿宋"/>
                <w:color w:val="auto"/>
                <w:spacing w:val="5"/>
                <w:szCs w:val="21"/>
                <w:highlight w:val="none"/>
              </w:rPr>
              <w:t>原材料检验情况</w:t>
            </w:r>
          </w:p>
        </w:tc>
        <w:tc>
          <w:tcPr>
            <w:tcW w:w="1377" w:type="dxa"/>
            <w:vMerge w:val="restart"/>
            <w:tcBorders>
              <w:bottom w:val="nil"/>
            </w:tcBorders>
            <w:vAlign w:val="center"/>
          </w:tcPr>
          <w:p>
            <w:pPr>
              <w:jc w:val="center"/>
              <w:rPr>
                <w:rFonts w:eastAsia="仿宋"/>
                <w:color w:val="auto"/>
                <w:szCs w:val="21"/>
                <w:highlight w:val="none"/>
              </w:rPr>
            </w:pPr>
          </w:p>
        </w:tc>
        <w:tc>
          <w:tcPr>
            <w:tcW w:w="2440" w:type="dxa"/>
            <w:gridSpan w:val="3"/>
            <w:vAlign w:val="center"/>
          </w:tcPr>
          <w:p>
            <w:pPr>
              <w:jc w:val="center"/>
              <w:rPr>
                <w:rFonts w:eastAsia="仿宋"/>
                <w:color w:val="auto"/>
                <w:szCs w:val="21"/>
                <w:highlight w:val="none"/>
              </w:rPr>
            </w:pPr>
          </w:p>
        </w:tc>
        <w:tc>
          <w:tcPr>
            <w:tcW w:w="1220" w:type="dxa"/>
            <w:vAlign w:val="center"/>
          </w:tcPr>
          <w:p>
            <w:pPr>
              <w:jc w:val="center"/>
              <w:rPr>
                <w:rFonts w:eastAsia="仿宋"/>
                <w:color w:val="auto"/>
                <w:szCs w:val="21"/>
                <w:highlight w:val="none"/>
              </w:rPr>
            </w:pPr>
          </w:p>
        </w:tc>
        <w:tc>
          <w:tcPr>
            <w:tcW w:w="1240" w:type="dxa"/>
            <w:vMerge w:val="restart"/>
            <w:tcBorders>
              <w:bottom w:val="nil"/>
            </w:tcBorders>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605" w:type="dxa"/>
            <w:vMerge w:val="continue"/>
            <w:tcBorders>
              <w:top w:val="nil"/>
              <w:bottom w:val="nil"/>
            </w:tcBorders>
            <w:vAlign w:val="center"/>
          </w:tcPr>
          <w:p>
            <w:pPr>
              <w:jc w:val="center"/>
              <w:rPr>
                <w:rFonts w:eastAsia="仿宋"/>
                <w:color w:val="auto"/>
                <w:szCs w:val="21"/>
                <w:highlight w:val="none"/>
              </w:rPr>
            </w:pPr>
          </w:p>
        </w:tc>
        <w:tc>
          <w:tcPr>
            <w:tcW w:w="3156" w:type="dxa"/>
            <w:gridSpan w:val="3"/>
            <w:vAlign w:val="center"/>
          </w:tcPr>
          <w:p>
            <w:pPr>
              <w:jc w:val="center"/>
              <w:rPr>
                <w:rFonts w:eastAsia="仿宋"/>
                <w:color w:val="auto"/>
                <w:szCs w:val="21"/>
                <w:highlight w:val="none"/>
              </w:rPr>
            </w:pPr>
            <w:r>
              <w:rPr>
                <w:rFonts w:eastAsia="仿宋"/>
                <w:color w:val="auto"/>
                <w:spacing w:val="3"/>
                <w:szCs w:val="21"/>
                <w:highlight w:val="none"/>
              </w:rPr>
              <w:t>成品质量</w:t>
            </w:r>
          </w:p>
        </w:tc>
        <w:tc>
          <w:tcPr>
            <w:tcW w:w="1377" w:type="dxa"/>
            <w:vMerge w:val="continue"/>
            <w:tcBorders>
              <w:top w:val="nil"/>
              <w:bottom w:val="nil"/>
            </w:tcBorders>
            <w:vAlign w:val="center"/>
          </w:tcPr>
          <w:p>
            <w:pPr>
              <w:jc w:val="center"/>
              <w:rPr>
                <w:rFonts w:eastAsia="仿宋"/>
                <w:color w:val="auto"/>
                <w:szCs w:val="21"/>
                <w:highlight w:val="none"/>
              </w:rPr>
            </w:pPr>
          </w:p>
        </w:tc>
        <w:tc>
          <w:tcPr>
            <w:tcW w:w="2440" w:type="dxa"/>
            <w:gridSpan w:val="3"/>
            <w:vAlign w:val="center"/>
          </w:tcPr>
          <w:p>
            <w:pPr>
              <w:jc w:val="center"/>
              <w:rPr>
                <w:rFonts w:eastAsia="仿宋"/>
                <w:color w:val="auto"/>
                <w:szCs w:val="21"/>
                <w:highlight w:val="none"/>
              </w:rPr>
            </w:pPr>
          </w:p>
        </w:tc>
        <w:tc>
          <w:tcPr>
            <w:tcW w:w="1220" w:type="dxa"/>
            <w:vAlign w:val="center"/>
          </w:tcPr>
          <w:p>
            <w:pPr>
              <w:jc w:val="center"/>
              <w:rPr>
                <w:rFonts w:eastAsia="仿宋"/>
                <w:color w:val="auto"/>
                <w:szCs w:val="21"/>
                <w:highlight w:val="none"/>
              </w:rPr>
            </w:pPr>
          </w:p>
        </w:tc>
        <w:tc>
          <w:tcPr>
            <w:tcW w:w="1240" w:type="dxa"/>
            <w:vMerge w:val="continue"/>
            <w:tcBorders>
              <w:top w:val="nil"/>
              <w:bottom w:val="nil"/>
            </w:tcBorders>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05" w:type="dxa"/>
            <w:vMerge w:val="continue"/>
            <w:tcBorders>
              <w:top w:val="nil"/>
              <w:bottom w:val="nil"/>
            </w:tcBorders>
            <w:vAlign w:val="center"/>
          </w:tcPr>
          <w:p>
            <w:pPr>
              <w:jc w:val="center"/>
              <w:rPr>
                <w:rFonts w:eastAsia="仿宋"/>
                <w:color w:val="auto"/>
                <w:szCs w:val="21"/>
                <w:highlight w:val="none"/>
              </w:rPr>
            </w:pPr>
          </w:p>
        </w:tc>
        <w:tc>
          <w:tcPr>
            <w:tcW w:w="3156" w:type="dxa"/>
            <w:gridSpan w:val="3"/>
            <w:vAlign w:val="center"/>
          </w:tcPr>
          <w:p>
            <w:pPr>
              <w:jc w:val="center"/>
              <w:rPr>
                <w:rFonts w:eastAsia="仿宋"/>
                <w:color w:val="auto"/>
                <w:szCs w:val="21"/>
                <w:highlight w:val="none"/>
              </w:rPr>
            </w:pPr>
            <w:r>
              <w:rPr>
                <w:rFonts w:eastAsia="仿宋"/>
                <w:color w:val="auto"/>
                <w:spacing w:val="-4"/>
                <w:szCs w:val="21"/>
                <w:highlight w:val="none"/>
              </w:rPr>
              <w:t>电气系统试验</w:t>
            </w:r>
          </w:p>
        </w:tc>
        <w:tc>
          <w:tcPr>
            <w:tcW w:w="1377" w:type="dxa"/>
            <w:vMerge w:val="continue"/>
            <w:tcBorders>
              <w:top w:val="nil"/>
              <w:bottom w:val="nil"/>
            </w:tcBorders>
            <w:vAlign w:val="center"/>
          </w:tcPr>
          <w:p>
            <w:pPr>
              <w:jc w:val="center"/>
              <w:rPr>
                <w:rFonts w:eastAsia="仿宋"/>
                <w:color w:val="auto"/>
                <w:szCs w:val="21"/>
                <w:highlight w:val="none"/>
              </w:rPr>
            </w:pPr>
          </w:p>
        </w:tc>
        <w:tc>
          <w:tcPr>
            <w:tcW w:w="2440" w:type="dxa"/>
            <w:gridSpan w:val="3"/>
            <w:vAlign w:val="center"/>
          </w:tcPr>
          <w:p>
            <w:pPr>
              <w:jc w:val="center"/>
              <w:rPr>
                <w:rFonts w:eastAsia="仿宋"/>
                <w:color w:val="auto"/>
                <w:szCs w:val="21"/>
                <w:highlight w:val="none"/>
              </w:rPr>
            </w:pPr>
          </w:p>
        </w:tc>
        <w:tc>
          <w:tcPr>
            <w:tcW w:w="1220" w:type="dxa"/>
            <w:vAlign w:val="center"/>
          </w:tcPr>
          <w:p>
            <w:pPr>
              <w:jc w:val="center"/>
              <w:rPr>
                <w:rFonts w:eastAsia="仿宋"/>
                <w:color w:val="auto"/>
                <w:szCs w:val="21"/>
                <w:highlight w:val="none"/>
              </w:rPr>
            </w:pPr>
          </w:p>
        </w:tc>
        <w:tc>
          <w:tcPr>
            <w:tcW w:w="1240" w:type="dxa"/>
            <w:vMerge w:val="continue"/>
            <w:tcBorders>
              <w:top w:val="nil"/>
              <w:bottom w:val="nil"/>
            </w:tcBorders>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605" w:type="dxa"/>
            <w:vMerge w:val="continue"/>
            <w:tcBorders>
              <w:top w:val="nil"/>
            </w:tcBorders>
            <w:vAlign w:val="center"/>
          </w:tcPr>
          <w:p>
            <w:pPr>
              <w:jc w:val="center"/>
              <w:rPr>
                <w:rFonts w:eastAsia="仿宋"/>
                <w:color w:val="auto"/>
                <w:szCs w:val="21"/>
                <w:highlight w:val="none"/>
              </w:rPr>
            </w:pPr>
          </w:p>
        </w:tc>
        <w:tc>
          <w:tcPr>
            <w:tcW w:w="3156" w:type="dxa"/>
            <w:gridSpan w:val="3"/>
            <w:vAlign w:val="center"/>
          </w:tcPr>
          <w:p>
            <w:pPr>
              <w:jc w:val="center"/>
              <w:rPr>
                <w:rFonts w:eastAsia="仿宋"/>
                <w:color w:val="auto"/>
                <w:szCs w:val="21"/>
                <w:highlight w:val="none"/>
              </w:rPr>
            </w:pPr>
            <w:r>
              <w:rPr>
                <w:rFonts w:eastAsia="仿宋"/>
                <w:color w:val="auto"/>
                <w:spacing w:val="-2"/>
                <w:szCs w:val="21"/>
                <w:highlight w:val="none"/>
              </w:rPr>
              <w:t>隐蔽验收</w:t>
            </w:r>
          </w:p>
        </w:tc>
        <w:tc>
          <w:tcPr>
            <w:tcW w:w="1377" w:type="dxa"/>
            <w:vMerge w:val="continue"/>
            <w:tcBorders>
              <w:top w:val="nil"/>
            </w:tcBorders>
            <w:vAlign w:val="center"/>
          </w:tcPr>
          <w:p>
            <w:pPr>
              <w:jc w:val="center"/>
              <w:rPr>
                <w:rFonts w:eastAsia="仿宋"/>
                <w:color w:val="auto"/>
                <w:szCs w:val="21"/>
                <w:highlight w:val="none"/>
              </w:rPr>
            </w:pPr>
          </w:p>
        </w:tc>
        <w:tc>
          <w:tcPr>
            <w:tcW w:w="2440" w:type="dxa"/>
            <w:gridSpan w:val="3"/>
            <w:vAlign w:val="center"/>
          </w:tcPr>
          <w:p>
            <w:pPr>
              <w:jc w:val="center"/>
              <w:rPr>
                <w:rFonts w:eastAsia="仿宋"/>
                <w:color w:val="auto"/>
                <w:szCs w:val="21"/>
                <w:highlight w:val="none"/>
              </w:rPr>
            </w:pPr>
          </w:p>
        </w:tc>
        <w:tc>
          <w:tcPr>
            <w:tcW w:w="1220" w:type="dxa"/>
            <w:vAlign w:val="center"/>
          </w:tcPr>
          <w:p>
            <w:pPr>
              <w:jc w:val="center"/>
              <w:rPr>
                <w:rFonts w:eastAsia="仿宋"/>
                <w:color w:val="auto"/>
                <w:szCs w:val="21"/>
                <w:highlight w:val="none"/>
              </w:rPr>
            </w:pPr>
          </w:p>
        </w:tc>
        <w:tc>
          <w:tcPr>
            <w:tcW w:w="1240" w:type="dxa"/>
            <w:vMerge w:val="continue"/>
            <w:tcBorders>
              <w:top w:val="nil"/>
            </w:tcBorders>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38" w:type="dxa"/>
            <w:gridSpan w:val="10"/>
            <w:vAlign w:val="center"/>
          </w:tcPr>
          <w:p>
            <w:pPr>
              <w:jc w:val="center"/>
              <w:rPr>
                <w:rFonts w:eastAsia="仿宋"/>
                <w:color w:val="auto"/>
                <w:szCs w:val="21"/>
                <w:highlight w:val="none"/>
              </w:rPr>
            </w:pPr>
            <w:r>
              <w:rPr>
                <w:rFonts w:eastAsia="仿宋"/>
                <w:color w:val="auto"/>
                <w:spacing w:val="10"/>
                <w:szCs w:val="21"/>
                <w:highlight w:val="none"/>
              </w:rPr>
              <w:t>通风与空调系统验收标准</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605" w:type="dxa"/>
            <w:vMerge w:val="restart"/>
            <w:tcBorders>
              <w:bottom w:val="nil"/>
            </w:tcBorders>
            <w:vAlign w:val="center"/>
          </w:tcPr>
          <w:p>
            <w:pPr>
              <w:pStyle w:val="79"/>
              <w:jc w:val="center"/>
              <w:rPr>
                <w:rFonts w:eastAsia="仿宋"/>
                <w:color w:val="auto"/>
                <w:sz w:val="21"/>
                <w:szCs w:val="21"/>
                <w:highlight w:val="none"/>
              </w:rPr>
            </w:pPr>
            <w:r>
              <w:rPr>
                <w:rFonts w:eastAsia="仿宋"/>
                <w:color w:val="auto"/>
                <w:sz w:val="21"/>
                <w:szCs w:val="21"/>
                <w:highlight w:val="none"/>
              </w:rPr>
              <w:t>4</w:t>
            </w:r>
          </w:p>
        </w:tc>
        <w:tc>
          <w:tcPr>
            <w:tcW w:w="3156" w:type="dxa"/>
            <w:gridSpan w:val="3"/>
            <w:vAlign w:val="center"/>
          </w:tcPr>
          <w:p>
            <w:pPr>
              <w:jc w:val="center"/>
              <w:rPr>
                <w:rFonts w:eastAsia="仿宋"/>
                <w:color w:val="auto"/>
                <w:szCs w:val="21"/>
                <w:highlight w:val="none"/>
              </w:rPr>
            </w:pPr>
            <w:r>
              <w:rPr>
                <w:rFonts w:eastAsia="仿宋"/>
                <w:color w:val="auto"/>
                <w:spacing w:val="5"/>
                <w:szCs w:val="21"/>
                <w:highlight w:val="none"/>
              </w:rPr>
              <w:t>原材料检验情况</w:t>
            </w:r>
          </w:p>
        </w:tc>
        <w:tc>
          <w:tcPr>
            <w:tcW w:w="1377" w:type="dxa"/>
            <w:vMerge w:val="restart"/>
            <w:tcBorders>
              <w:bottom w:val="nil"/>
            </w:tcBorders>
            <w:vAlign w:val="center"/>
          </w:tcPr>
          <w:p>
            <w:pPr>
              <w:jc w:val="center"/>
              <w:rPr>
                <w:rFonts w:eastAsia="仿宋"/>
                <w:color w:val="auto"/>
                <w:szCs w:val="21"/>
                <w:highlight w:val="none"/>
              </w:rPr>
            </w:pPr>
          </w:p>
        </w:tc>
        <w:tc>
          <w:tcPr>
            <w:tcW w:w="2440" w:type="dxa"/>
            <w:gridSpan w:val="3"/>
            <w:vAlign w:val="center"/>
          </w:tcPr>
          <w:p>
            <w:pPr>
              <w:jc w:val="center"/>
              <w:rPr>
                <w:rFonts w:eastAsia="仿宋"/>
                <w:color w:val="auto"/>
                <w:szCs w:val="21"/>
                <w:highlight w:val="none"/>
              </w:rPr>
            </w:pPr>
          </w:p>
        </w:tc>
        <w:tc>
          <w:tcPr>
            <w:tcW w:w="1220" w:type="dxa"/>
            <w:vAlign w:val="center"/>
          </w:tcPr>
          <w:p>
            <w:pPr>
              <w:jc w:val="center"/>
              <w:rPr>
                <w:rFonts w:eastAsia="仿宋"/>
                <w:color w:val="auto"/>
                <w:szCs w:val="21"/>
                <w:highlight w:val="none"/>
              </w:rPr>
            </w:pPr>
          </w:p>
        </w:tc>
        <w:tc>
          <w:tcPr>
            <w:tcW w:w="1240" w:type="dxa"/>
            <w:vMerge w:val="restart"/>
            <w:tcBorders>
              <w:bottom w:val="nil"/>
            </w:tcBorders>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605" w:type="dxa"/>
            <w:vMerge w:val="continue"/>
            <w:tcBorders>
              <w:top w:val="nil"/>
              <w:bottom w:val="nil"/>
            </w:tcBorders>
            <w:vAlign w:val="center"/>
          </w:tcPr>
          <w:p>
            <w:pPr>
              <w:jc w:val="center"/>
              <w:rPr>
                <w:rFonts w:eastAsia="仿宋"/>
                <w:color w:val="auto"/>
                <w:szCs w:val="21"/>
                <w:highlight w:val="none"/>
              </w:rPr>
            </w:pPr>
          </w:p>
        </w:tc>
        <w:tc>
          <w:tcPr>
            <w:tcW w:w="3156" w:type="dxa"/>
            <w:gridSpan w:val="3"/>
            <w:vAlign w:val="center"/>
          </w:tcPr>
          <w:p>
            <w:pPr>
              <w:jc w:val="center"/>
              <w:rPr>
                <w:rFonts w:eastAsia="仿宋"/>
                <w:color w:val="auto"/>
                <w:szCs w:val="21"/>
                <w:highlight w:val="none"/>
              </w:rPr>
            </w:pPr>
            <w:r>
              <w:rPr>
                <w:rFonts w:eastAsia="仿宋"/>
                <w:color w:val="auto"/>
                <w:spacing w:val="3"/>
                <w:szCs w:val="21"/>
                <w:highlight w:val="none"/>
              </w:rPr>
              <w:t>成品质量</w:t>
            </w:r>
          </w:p>
        </w:tc>
        <w:tc>
          <w:tcPr>
            <w:tcW w:w="1377" w:type="dxa"/>
            <w:vMerge w:val="continue"/>
            <w:tcBorders>
              <w:top w:val="nil"/>
              <w:bottom w:val="nil"/>
            </w:tcBorders>
            <w:vAlign w:val="center"/>
          </w:tcPr>
          <w:p>
            <w:pPr>
              <w:jc w:val="center"/>
              <w:rPr>
                <w:rFonts w:eastAsia="仿宋"/>
                <w:color w:val="auto"/>
                <w:szCs w:val="21"/>
                <w:highlight w:val="none"/>
              </w:rPr>
            </w:pPr>
          </w:p>
        </w:tc>
        <w:tc>
          <w:tcPr>
            <w:tcW w:w="2440" w:type="dxa"/>
            <w:gridSpan w:val="3"/>
            <w:vAlign w:val="center"/>
          </w:tcPr>
          <w:p>
            <w:pPr>
              <w:jc w:val="center"/>
              <w:rPr>
                <w:rFonts w:eastAsia="仿宋"/>
                <w:color w:val="auto"/>
                <w:szCs w:val="21"/>
                <w:highlight w:val="none"/>
              </w:rPr>
            </w:pPr>
          </w:p>
        </w:tc>
        <w:tc>
          <w:tcPr>
            <w:tcW w:w="1220" w:type="dxa"/>
            <w:vAlign w:val="center"/>
          </w:tcPr>
          <w:p>
            <w:pPr>
              <w:jc w:val="center"/>
              <w:rPr>
                <w:rFonts w:eastAsia="仿宋"/>
                <w:color w:val="auto"/>
                <w:szCs w:val="21"/>
                <w:highlight w:val="none"/>
              </w:rPr>
            </w:pPr>
          </w:p>
        </w:tc>
        <w:tc>
          <w:tcPr>
            <w:tcW w:w="1240" w:type="dxa"/>
            <w:vMerge w:val="continue"/>
            <w:tcBorders>
              <w:top w:val="nil"/>
              <w:bottom w:val="nil"/>
            </w:tcBorders>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05" w:type="dxa"/>
            <w:vMerge w:val="continue"/>
            <w:tcBorders>
              <w:top w:val="nil"/>
              <w:bottom w:val="nil"/>
            </w:tcBorders>
            <w:vAlign w:val="center"/>
          </w:tcPr>
          <w:p>
            <w:pPr>
              <w:jc w:val="center"/>
              <w:rPr>
                <w:rFonts w:eastAsia="仿宋"/>
                <w:color w:val="auto"/>
                <w:szCs w:val="21"/>
                <w:highlight w:val="none"/>
              </w:rPr>
            </w:pPr>
          </w:p>
        </w:tc>
        <w:tc>
          <w:tcPr>
            <w:tcW w:w="3156" w:type="dxa"/>
            <w:gridSpan w:val="3"/>
            <w:vAlign w:val="center"/>
          </w:tcPr>
          <w:p>
            <w:pPr>
              <w:jc w:val="center"/>
              <w:rPr>
                <w:rFonts w:eastAsia="仿宋"/>
                <w:color w:val="auto"/>
                <w:szCs w:val="21"/>
                <w:highlight w:val="none"/>
              </w:rPr>
            </w:pPr>
            <w:r>
              <w:rPr>
                <w:rFonts w:eastAsia="仿宋"/>
                <w:color w:val="auto"/>
                <w:spacing w:val="8"/>
                <w:szCs w:val="21"/>
                <w:highlight w:val="none"/>
              </w:rPr>
              <w:t>通风与空调系统试验</w:t>
            </w:r>
          </w:p>
        </w:tc>
        <w:tc>
          <w:tcPr>
            <w:tcW w:w="1377" w:type="dxa"/>
            <w:vMerge w:val="continue"/>
            <w:tcBorders>
              <w:top w:val="nil"/>
              <w:bottom w:val="nil"/>
            </w:tcBorders>
            <w:vAlign w:val="center"/>
          </w:tcPr>
          <w:p>
            <w:pPr>
              <w:jc w:val="center"/>
              <w:rPr>
                <w:rFonts w:eastAsia="仿宋"/>
                <w:color w:val="auto"/>
                <w:szCs w:val="21"/>
                <w:highlight w:val="none"/>
              </w:rPr>
            </w:pPr>
          </w:p>
        </w:tc>
        <w:tc>
          <w:tcPr>
            <w:tcW w:w="2440" w:type="dxa"/>
            <w:gridSpan w:val="3"/>
            <w:vAlign w:val="center"/>
          </w:tcPr>
          <w:p>
            <w:pPr>
              <w:jc w:val="center"/>
              <w:rPr>
                <w:rFonts w:eastAsia="仿宋"/>
                <w:color w:val="auto"/>
                <w:szCs w:val="21"/>
                <w:highlight w:val="none"/>
              </w:rPr>
            </w:pPr>
          </w:p>
        </w:tc>
        <w:tc>
          <w:tcPr>
            <w:tcW w:w="1220" w:type="dxa"/>
            <w:vAlign w:val="center"/>
          </w:tcPr>
          <w:p>
            <w:pPr>
              <w:jc w:val="center"/>
              <w:rPr>
                <w:rFonts w:eastAsia="仿宋"/>
                <w:color w:val="auto"/>
                <w:szCs w:val="21"/>
                <w:highlight w:val="none"/>
              </w:rPr>
            </w:pPr>
          </w:p>
        </w:tc>
        <w:tc>
          <w:tcPr>
            <w:tcW w:w="1240" w:type="dxa"/>
            <w:vMerge w:val="continue"/>
            <w:tcBorders>
              <w:top w:val="nil"/>
              <w:bottom w:val="nil"/>
            </w:tcBorders>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42" w:hRule="atLeast"/>
          <w:jc w:val="center"/>
        </w:trPr>
        <w:tc>
          <w:tcPr>
            <w:tcW w:w="605" w:type="dxa"/>
            <w:vMerge w:val="continue"/>
            <w:tcBorders>
              <w:top w:val="nil"/>
            </w:tcBorders>
            <w:vAlign w:val="center"/>
          </w:tcPr>
          <w:p>
            <w:pPr>
              <w:jc w:val="center"/>
              <w:rPr>
                <w:rFonts w:eastAsia="仿宋"/>
                <w:color w:val="auto"/>
                <w:szCs w:val="21"/>
                <w:highlight w:val="none"/>
              </w:rPr>
            </w:pPr>
          </w:p>
        </w:tc>
        <w:tc>
          <w:tcPr>
            <w:tcW w:w="3156" w:type="dxa"/>
            <w:gridSpan w:val="3"/>
            <w:vAlign w:val="center"/>
          </w:tcPr>
          <w:p>
            <w:pPr>
              <w:jc w:val="center"/>
              <w:rPr>
                <w:rFonts w:eastAsia="仿宋"/>
                <w:color w:val="auto"/>
                <w:szCs w:val="21"/>
                <w:highlight w:val="none"/>
              </w:rPr>
            </w:pPr>
            <w:r>
              <w:rPr>
                <w:rFonts w:eastAsia="仿宋"/>
                <w:color w:val="auto"/>
                <w:spacing w:val="-2"/>
                <w:szCs w:val="21"/>
                <w:highlight w:val="none"/>
              </w:rPr>
              <w:t>隐蔽验收</w:t>
            </w:r>
          </w:p>
        </w:tc>
        <w:tc>
          <w:tcPr>
            <w:tcW w:w="1377" w:type="dxa"/>
            <w:vMerge w:val="continue"/>
            <w:tcBorders>
              <w:top w:val="nil"/>
            </w:tcBorders>
            <w:vAlign w:val="center"/>
          </w:tcPr>
          <w:p>
            <w:pPr>
              <w:jc w:val="center"/>
              <w:rPr>
                <w:rFonts w:eastAsia="仿宋"/>
                <w:color w:val="auto"/>
                <w:szCs w:val="21"/>
                <w:highlight w:val="none"/>
              </w:rPr>
            </w:pPr>
          </w:p>
        </w:tc>
        <w:tc>
          <w:tcPr>
            <w:tcW w:w="2440" w:type="dxa"/>
            <w:gridSpan w:val="3"/>
            <w:vAlign w:val="center"/>
          </w:tcPr>
          <w:p>
            <w:pPr>
              <w:jc w:val="center"/>
              <w:rPr>
                <w:rFonts w:eastAsia="仿宋"/>
                <w:color w:val="auto"/>
                <w:szCs w:val="21"/>
                <w:highlight w:val="none"/>
              </w:rPr>
            </w:pPr>
          </w:p>
        </w:tc>
        <w:tc>
          <w:tcPr>
            <w:tcW w:w="1220" w:type="dxa"/>
            <w:vAlign w:val="center"/>
          </w:tcPr>
          <w:p>
            <w:pPr>
              <w:jc w:val="center"/>
              <w:rPr>
                <w:rFonts w:eastAsia="仿宋"/>
                <w:color w:val="auto"/>
                <w:szCs w:val="21"/>
                <w:highlight w:val="none"/>
              </w:rPr>
            </w:pPr>
          </w:p>
        </w:tc>
        <w:tc>
          <w:tcPr>
            <w:tcW w:w="1240" w:type="dxa"/>
            <w:vMerge w:val="continue"/>
            <w:tcBorders>
              <w:top w:val="nil"/>
            </w:tcBorders>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10038" w:type="dxa"/>
            <w:gridSpan w:val="10"/>
            <w:vAlign w:val="center"/>
          </w:tcPr>
          <w:p>
            <w:pPr>
              <w:jc w:val="center"/>
              <w:rPr>
                <w:rFonts w:eastAsia="仿宋"/>
                <w:color w:val="auto"/>
                <w:szCs w:val="21"/>
                <w:highlight w:val="none"/>
              </w:rPr>
            </w:pPr>
            <w:r>
              <w:rPr>
                <w:rFonts w:eastAsia="仿宋"/>
                <w:color w:val="auto"/>
                <w:spacing w:val="7"/>
                <w:szCs w:val="21"/>
                <w:highlight w:val="none"/>
              </w:rPr>
              <w:t>消防系统验收标准</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605" w:type="dxa"/>
            <w:vMerge w:val="restart"/>
            <w:tcBorders>
              <w:bottom w:val="nil"/>
            </w:tcBorders>
            <w:vAlign w:val="center"/>
          </w:tcPr>
          <w:p>
            <w:pPr>
              <w:pStyle w:val="79"/>
              <w:jc w:val="center"/>
              <w:rPr>
                <w:rFonts w:eastAsia="仿宋"/>
                <w:color w:val="auto"/>
                <w:sz w:val="21"/>
                <w:szCs w:val="21"/>
                <w:highlight w:val="none"/>
              </w:rPr>
            </w:pPr>
            <w:r>
              <w:rPr>
                <w:rFonts w:eastAsia="仿宋"/>
                <w:color w:val="auto"/>
                <w:sz w:val="21"/>
                <w:szCs w:val="21"/>
                <w:highlight w:val="none"/>
              </w:rPr>
              <w:t>5</w:t>
            </w:r>
          </w:p>
        </w:tc>
        <w:tc>
          <w:tcPr>
            <w:tcW w:w="3156" w:type="dxa"/>
            <w:gridSpan w:val="3"/>
            <w:vAlign w:val="center"/>
          </w:tcPr>
          <w:p>
            <w:pPr>
              <w:jc w:val="center"/>
              <w:rPr>
                <w:rFonts w:eastAsia="仿宋"/>
                <w:color w:val="auto"/>
                <w:szCs w:val="21"/>
                <w:highlight w:val="none"/>
              </w:rPr>
            </w:pPr>
            <w:r>
              <w:rPr>
                <w:rFonts w:eastAsia="仿宋"/>
                <w:color w:val="auto"/>
                <w:spacing w:val="5"/>
                <w:szCs w:val="21"/>
                <w:highlight w:val="none"/>
              </w:rPr>
              <w:t>原材料检验情况</w:t>
            </w:r>
          </w:p>
        </w:tc>
        <w:tc>
          <w:tcPr>
            <w:tcW w:w="1377" w:type="dxa"/>
            <w:vMerge w:val="restart"/>
            <w:tcBorders>
              <w:bottom w:val="nil"/>
            </w:tcBorders>
            <w:vAlign w:val="center"/>
          </w:tcPr>
          <w:p>
            <w:pPr>
              <w:jc w:val="center"/>
              <w:rPr>
                <w:rFonts w:eastAsia="仿宋"/>
                <w:color w:val="auto"/>
                <w:szCs w:val="21"/>
                <w:highlight w:val="none"/>
              </w:rPr>
            </w:pPr>
          </w:p>
        </w:tc>
        <w:tc>
          <w:tcPr>
            <w:tcW w:w="2440" w:type="dxa"/>
            <w:gridSpan w:val="3"/>
            <w:vAlign w:val="center"/>
          </w:tcPr>
          <w:p>
            <w:pPr>
              <w:jc w:val="center"/>
              <w:rPr>
                <w:rFonts w:eastAsia="仿宋"/>
                <w:color w:val="auto"/>
                <w:szCs w:val="21"/>
                <w:highlight w:val="none"/>
              </w:rPr>
            </w:pPr>
          </w:p>
        </w:tc>
        <w:tc>
          <w:tcPr>
            <w:tcW w:w="1220" w:type="dxa"/>
            <w:vAlign w:val="center"/>
          </w:tcPr>
          <w:p>
            <w:pPr>
              <w:jc w:val="center"/>
              <w:rPr>
                <w:rFonts w:eastAsia="仿宋"/>
                <w:color w:val="auto"/>
                <w:szCs w:val="21"/>
                <w:highlight w:val="none"/>
              </w:rPr>
            </w:pPr>
          </w:p>
        </w:tc>
        <w:tc>
          <w:tcPr>
            <w:tcW w:w="1240" w:type="dxa"/>
            <w:vMerge w:val="restart"/>
            <w:tcBorders>
              <w:bottom w:val="nil"/>
            </w:tcBorders>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605" w:type="dxa"/>
            <w:vMerge w:val="continue"/>
            <w:tcBorders>
              <w:top w:val="nil"/>
              <w:bottom w:val="nil"/>
            </w:tcBorders>
            <w:vAlign w:val="center"/>
          </w:tcPr>
          <w:p>
            <w:pPr>
              <w:jc w:val="center"/>
              <w:rPr>
                <w:rFonts w:eastAsia="仿宋"/>
                <w:color w:val="auto"/>
                <w:szCs w:val="21"/>
                <w:highlight w:val="none"/>
              </w:rPr>
            </w:pPr>
          </w:p>
        </w:tc>
        <w:tc>
          <w:tcPr>
            <w:tcW w:w="3156" w:type="dxa"/>
            <w:gridSpan w:val="3"/>
            <w:vAlign w:val="center"/>
          </w:tcPr>
          <w:p>
            <w:pPr>
              <w:jc w:val="center"/>
              <w:rPr>
                <w:rFonts w:eastAsia="仿宋"/>
                <w:color w:val="auto"/>
                <w:szCs w:val="21"/>
                <w:highlight w:val="none"/>
              </w:rPr>
            </w:pPr>
            <w:r>
              <w:rPr>
                <w:rFonts w:eastAsia="仿宋"/>
                <w:color w:val="auto"/>
                <w:spacing w:val="3"/>
                <w:szCs w:val="21"/>
                <w:highlight w:val="none"/>
              </w:rPr>
              <w:t>成品质量</w:t>
            </w:r>
          </w:p>
        </w:tc>
        <w:tc>
          <w:tcPr>
            <w:tcW w:w="1377" w:type="dxa"/>
            <w:vMerge w:val="continue"/>
            <w:tcBorders>
              <w:top w:val="nil"/>
              <w:bottom w:val="nil"/>
            </w:tcBorders>
            <w:vAlign w:val="center"/>
          </w:tcPr>
          <w:p>
            <w:pPr>
              <w:jc w:val="center"/>
              <w:rPr>
                <w:rFonts w:eastAsia="仿宋"/>
                <w:color w:val="auto"/>
                <w:szCs w:val="21"/>
                <w:highlight w:val="none"/>
              </w:rPr>
            </w:pPr>
          </w:p>
        </w:tc>
        <w:tc>
          <w:tcPr>
            <w:tcW w:w="2440" w:type="dxa"/>
            <w:gridSpan w:val="3"/>
            <w:vAlign w:val="center"/>
          </w:tcPr>
          <w:p>
            <w:pPr>
              <w:jc w:val="center"/>
              <w:rPr>
                <w:rFonts w:eastAsia="仿宋"/>
                <w:color w:val="auto"/>
                <w:szCs w:val="21"/>
                <w:highlight w:val="none"/>
              </w:rPr>
            </w:pPr>
          </w:p>
        </w:tc>
        <w:tc>
          <w:tcPr>
            <w:tcW w:w="1220" w:type="dxa"/>
            <w:vAlign w:val="center"/>
          </w:tcPr>
          <w:p>
            <w:pPr>
              <w:jc w:val="center"/>
              <w:rPr>
                <w:rFonts w:eastAsia="仿宋"/>
                <w:color w:val="auto"/>
                <w:szCs w:val="21"/>
                <w:highlight w:val="none"/>
              </w:rPr>
            </w:pPr>
          </w:p>
        </w:tc>
        <w:tc>
          <w:tcPr>
            <w:tcW w:w="1240" w:type="dxa"/>
            <w:vMerge w:val="continue"/>
            <w:tcBorders>
              <w:top w:val="nil"/>
              <w:bottom w:val="nil"/>
            </w:tcBorders>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605" w:type="dxa"/>
            <w:vMerge w:val="continue"/>
            <w:tcBorders>
              <w:top w:val="nil"/>
              <w:bottom w:val="nil"/>
            </w:tcBorders>
            <w:vAlign w:val="center"/>
          </w:tcPr>
          <w:p>
            <w:pPr>
              <w:jc w:val="center"/>
              <w:rPr>
                <w:rFonts w:eastAsia="仿宋"/>
                <w:color w:val="auto"/>
                <w:szCs w:val="21"/>
                <w:highlight w:val="none"/>
              </w:rPr>
            </w:pPr>
          </w:p>
        </w:tc>
        <w:tc>
          <w:tcPr>
            <w:tcW w:w="3156" w:type="dxa"/>
            <w:gridSpan w:val="3"/>
            <w:vAlign w:val="center"/>
          </w:tcPr>
          <w:p>
            <w:pPr>
              <w:jc w:val="center"/>
              <w:rPr>
                <w:rFonts w:eastAsia="仿宋"/>
                <w:color w:val="auto"/>
                <w:szCs w:val="21"/>
                <w:highlight w:val="none"/>
              </w:rPr>
            </w:pPr>
            <w:r>
              <w:rPr>
                <w:rFonts w:eastAsia="仿宋"/>
                <w:color w:val="auto"/>
                <w:spacing w:val="5"/>
                <w:szCs w:val="21"/>
                <w:highlight w:val="none"/>
              </w:rPr>
              <w:t>消防系统试验</w:t>
            </w:r>
          </w:p>
        </w:tc>
        <w:tc>
          <w:tcPr>
            <w:tcW w:w="1377" w:type="dxa"/>
            <w:vMerge w:val="continue"/>
            <w:tcBorders>
              <w:top w:val="nil"/>
              <w:bottom w:val="nil"/>
            </w:tcBorders>
            <w:vAlign w:val="center"/>
          </w:tcPr>
          <w:p>
            <w:pPr>
              <w:jc w:val="center"/>
              <w:rPr>
                <w:rFonts w:eastAsia="仿宋"/>
                <w:color w:val="auto"/>
                <w:szCs w:val="21"/>
                <w:highlight w:val="none"/>
              </w:rPr>
            </w:pPr>
          </w:p>
        </w:tc>
        <w:tc>
          <w:tcPr>
            <w:tcW w:w="2440" w:type="dxa"/>
            <w:gridSpan w:val="3"/>
            <w:vAlign w:val="center"/>
          </w:tcPr>
          <w:p>
            <w:pPr>
              <w:jc w:val="center"/>
              <w:rPr>
                <w:rFonts w:eastAsia="仿宋"/>
                <w:color w:val="auto"/>
                <w:szCs w:val="21"/>
                <w:highlight w:val="none"/>
              </w:rPr>
            </w:pPr>
          </w:p>
        </w:tc>
        <w:tc>
          <w:tcPr>
            <w:tcW w:w="1220" w:type="dxa"/>
            <w:vAlign w:val="center"/>
          </w:tcPr>
          <w:p>
            <w:pPr>
              <w:jc w:val="center"/>
              <w:rPr>
                <w:rFonts w:eastAsia="仿宋"/>
                <w:color w:val="auto"/>
                <w:szCs w:val="21"/>
                <w:highlight w:val="none"/>
              </w:rPr>
            </w:pPr>
          </w:p>
        </w:tc>
        <w:tc>
          <w:tcPr>
            <w:tcW w:w="1240" w:type="dxa"/>
            <w:vMerge w:val="continue"/>
            <w:tcBorders>
              <w:top w:val="nil"/>
              <w:bottom w:val="nil"/>
            </w:tcBorders>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605" w:type="dxa"/>
            <w:vMerge w:val="continue"/>
            <w:tcBorders>
              <w:top w:val="nil"/>
            </w:tcBorders>
            <w:vAlign w:val="center"/>
          </w:tcPr>
          <w:p>
            <w:pPr>
              <w:jc w:val="center"/>
              <w:rPr>
                <w:rFonts w:eastAsia="仿宋"/>
                <w:color w:val="auto"/>
                <w:szCs w:val="21"/>
                <w:highlight w:val="none"/>
              </w:rPr>
            </w:pPr>
          </w:p>
        </w:tc>
        <w:tc>
          <w:tcPr>
            <w:tcW w:w="3156" w:type="dxa"/>
            <w:gridSpan w:val="3"/>
            <w:vAlign w:val="center"/>
          </w:tcPr>
          <w:p>
            <w:pPr>
              <w:jc w:val="center"/>
              <w:rPr>
                <w:rFonts w:eastAsia="仿宋"/>
                <w:color w:val="auto"/>
                <w:szCs w:val="21"/>
                <w:highlight w:val="none"/>
              </w:rPr>
            </w:pPr>
            <w:r>
              <w:rPr>
                <w:rFonts w:eastAsia="仿宋"/>
                <w:color w:val="auto"/>
                <w:spacing w:val="-2"/>
                <w:szCs w:val="21"/>
                <w:highlight w:val="none"/>
              </w:rPr>
              <w:t>隐蔽验收</w:t>
            </w:r>
          </w:p>
        </w:tc>
        <w:tc>
          <w:tcPr>
            <w:tcW w:w="1377" w:type="dxa"/>
            <w:vMerge w:val="continue"/>
            <w:tcBorders>
              <w:top w:val="nil"/>
            </w:tcBorders>
            <w:vAlign w:val="center"/>
          </w:tcPr>
          <w:p>
            <w:pPr>
              <w:jc w:val="center"/>
              <w:rPr>
                <w:rFonts w:eastAsia="仿宋"/>
                <w:color w:val="auto"/>
                <w:szCs w:val="21"/>
                <w:highlight w:val="none"/>
              </w:rPr>
            </w:pPr>
          </w:p>
        </w:tc>
        <w:tc>
          <w:tcPr>
            <w:tcW w:w="2440" w:type="dxa"/>
            <w:gridSpan w:val="3"/>
            <w:vAlign w:val="center"/>
          </w:tcPr>
          <w:p>
            <w:pPr>
              <w:jc w:val="center"/>
              <w:rPr>
                <w:rFonts w:eastAsia="仿宋"/>
                <w:color w:val="auto"/>
                <w:szCs w:val="21"/>
                <w:highlight w:val="none"/>
              </w:rPr>
            </w:pPr>
          </w:p>
        </w:tc>
        <w:tc>
          <w:tcPr>
            <w:tcW w:w="1220" w:type="dxa"/>
            <w:vAlign w:val="center"/>
          </w:tcPr>
          <w:p>
            <w:pPr>
              <w:jc w:val="center"/>
              <w:rPr>
                <w:rFonts w:eastAsia="仿宋"/>
                <w:color w:val="auto"/>
                <w:szCs w:val="21"/>
                <w:highlight w:val="none"/>
              </w:rPr>
            </w:pPr>
          </w:p>
        </w:tc>
        <w:tc>
          <w:tcPr>
            <w:tcW w:w="1240" w:type="dxa"/>
            <w:vMerge w:val="continue"/>
            <w:tcBorders>
              <w:top w:val="nil"/>
            </w:tcBorders>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10038" w:type="dxa"/>
            <w:gridSpan w:val="10"/>
            <w:vAlign w:val="center"/>
          </w:tcPr>
          <w:p>
            <w:pPr>
              <w:jc w:val="center"/>
              <w:rPr>
                <w:rFonts w:eastAsia="仿宋"/>
                <w:color w:val="auto"/>
                <w:szCs w:val="21"/>
                <w:highlight w:val="none"/>
              </w:rPr>
            </w:pPr>
            <w:r>
              <w:rPr>
                <w:rFonts w:eastAsia="仿宋"/>
                <w:color w:val="auto"/>
                <w:spacing w:val="7"/>
                <w:szCs w:val="21"/>
                <w:highlight w:val="none"/>
              </w:rPr>
              <w:t>其他系统验收标准</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1557" w:hRule="atLeast"/>
          <w:jc w:val="center"/>
        </w:trPr>
        <w:tc>
          <w:tcPr>
            <w:tcW w:w="3346" w:type="dxa"/>
            <w:gridSpan w:val="3"/>
            <w:vAlign w:val="center"/>
          </w:tcPr>
          <w:p>
            <w:pPr>
              <w:spacing w:before="58" w:line="219" w:lineRule="auto"/>
              <w:rPr>
                <w:rFonts w:eastAsia="仿宋"/>
                <w:color w:val="auto"/>
                <w:szCs w:val="21"/>
                <w:highlight w:val="none"/>
              </w:rPr>
            </w:pPr>
            <w:r>
              <w:rPr>
                <w:rFonts w:hint="eastAsia" w:eastAsia="仿宋"/>
                <w:color w:val="auto"/>
                <w:spacing w:val="-3"/>
                <w:szCs w:val="21"/>
                <w:highlight w:val="none"/>
              </w:rPr>
              <w:t>模块制作</w:t>
            </w:r>
            <w:r>
              <w:rPr>
                <w:rFonts w:eastAsia="仿宋"/>
                <w:color w:val="auto"/>
                <w:spacing w:val="-3"/>
                <w:szCs w:val="21"/>
                <w:highlight w:val="none"/>
              </w:rPr>
              <w:t>单位</w:t>
            </w:r>
          </w:p>
          <w:p>
            <w:pPr>
              <w:spacing w:before="117" w:line="219" w:lineRule="auto"/>
              <w:rPr>
                <w:rFonts w:eastAsia="仿宋"/>
                <w:color w:val="auto"/>
                <w:spacing w:val="-2"/>
                <w:szCs w:val="21"/>
                <w:highlight w:val="none"/>
              </w:rPr>
            </w:pPr>
            <w:r>
              <w:rPr>
                <w:rFonts w:eastAsia="仿宋"/>
                <w:color w:val="auto"/>
                <w:spacing w:val="-2"/>
                <w:szCs w:val="21"/>
                <w:highlight w:val="none"/>
              </w:rPr>
              <w:t>项目负责人：</w:t>
            </w:r>
          </w:p>
          <w:p>
            <w:pPr>
              <w:spacing w:before="58"/>
              <w:ind w:right="103"/>
              <w:jc w:val="right"/>
              <w:rPr>
                <w:rFonts w:eastAsia="仿宋"/>
                <w:color w:val="auto"/>
                <w:szCs w:val="21"/>
                <w:highlight w:val="none"/>
              </w:rPr>
            </w:pPr>
            <w:r>
              <w:rPr>
                <w:rFonts w:eastAsia="仿宋"/>
                <w:color w:val="auto"/>
                <w:spacing w:val="-7"/>
                <w:szCs w:val="21"/>
                <w:highlight w:val="none"/>
              </w:rPr>
              <w:t>年</w:t>
            </w:r>
            <w:r>
              <w:rPr>
                <w:rFonts w:eastAsia="仿宋"/>
                <w:color w:val="auto"/>
                <w:spacing w:val="3"/>
                <w:szCs w:val="21"/>
                <w:highlight w:val="none"/>
              </w:rPr>
              <w:t xml:space="preserve">    </w:t>
            </w:r>
            <w:r>
              <w:rPr>
                <w:rFonts w:eastAsia="仿宋"/>
                <w:color w:val="auto"/>
                <w:spacing w:val="-7"/>
                <w:szCs w:val="21"/>
                <w:highlight w:val="none"/>
              </w:rPr>
              <w:t>月</w:t>
            </w:r>
            <w:r>
              <w:rPr>
                <w:rFonts w:eastAsia="仿宋"/>
                <w:color w:val="auto"/>
                <w:spacing w:val="9"/>
                <w:szCs w:val="21"/>
                <w:highlight w:val="none"/>
              </w:rPr>
              <w:t xml:space="preserve">    </w:t>
            </w:r>
            <w:r>
              <w:rPr>
                <w:rFonts w:eastAsia="仿宋"/>
                <w:color w:val="auto"/>
                <w:spacing w:val="-7"/>
                <w:szCs w:val="21"/>
                <w:highlight w:val="none"/>
              </w:rPr>
              <w:t>日</w:t>
            </w:r>
          </w:p>
        </w:tc>
        <w:tc>
          <w:tcPr>
            <w:tcW w:w="3346" w:type="dxa"/>
            <w:gridSpan w:val="4"/>
            <w:vAlign w:val="center"/>
          </w:tcPr>
          <w:p>
            <w:pPr>
              <w:spacing w:before="58" w:line="219" w:lineRule="auto"/>
              <w:rPr>
                <w:rFonts w:eastAsia="仿宋"/>
                <w:color w:val="auto"/>
                <w:szCs w:val="21"/>
                <w:highlight w:val="none"/>
              </w:rPr>
            </w:pPr>
            <w:r>
              <w:rPr>
                <w:rFonts w:hint="eastAsia" w:eastAsia="仿宋"/>
                <w:color w:val="auto"/>
                <w:spacing w:val="-3"/>
                <w:szCs w:val="21"/>
                <w:highlight w:val="none"/>
              </w:rPr>
              <w:t>施工</w:t>
            </w:r>
            <w:r>
              <w:rPr>
                <w:rFonts w:eastAsia="仿宋"/>
                <w:color w:val="auto"/>
                <w:spacing w:val="-3"/>
                <w:szCs w:val="21"/>
                <w:highlight w:val="none"/>
              </w:rPr>
              <w:t>单位</w:t>
            </w:r>
          </w:p>
          <w:p>
            <w:pPr>
              <w:spacing w:before="117" w:line="219" w:lineRule="auto"/>
              <w:rPr>
                <w:rFonts w:eastAsia="仿宋"/>
                <w:color w:val="auto"/>
                <w:spacing w:val="-2"/>
                <w:szCs w:val="21"/>
                <w:highlight w:val="none"/>
              </w:rPr>
            </w:pPr>
            <w:r>
              <w:rPr>
                <w:rFonts w:eastAsia="仿宋"/>
                <w:color w:val="auto"/>
                <w:spacing w:val="-2"/>
                <w:szCs w:val="21"/>
                <w:highlight w:val="none"/>
              </w:rPr>
              <w:t>项目负责人：</w:t>
            </w:r>
          </w:p>
          <w:p>
            <w:pPr>
              <w:jc w:val="right"/>
              <w:rPr>
                <w:rFonts w:eastAsia="仿宋"/>
                <w:color w:val="auto"/>
                <w:spacing w:val="-2"/>
                <w:szCs w:val="21"/>
                <w:highlight w:val="none"/>
              </w:rPr>
            </w:pPr>
            <w:r>
              <w:rPr>
                <w:rFonts w:eastAsia="仿宋"/>
                <w:color w:val="auto"/>
                <w:spacing w:val="-7"/>
                <w:szCs w:val="21"/>
                <w:highlight w:val="none"/>
              </w:rPr>
              <w:t>年</w:t>
            </w:r>
            <w:r>
              <w:rPr>
                <w:rFonts w:eastAsia="仿宋"/>
                <w:color w:val="auto"/>
                <w:spacing w:val="3"/>
                <w:szCs w:val="21"/>
                <w:highlight w:val="none"/>
              </w:rPr>
              <w:t xml:space="preserve">    </w:t>
            </w:r>
            <w:r>
              <w:rPr>
                <w:rFonts w:eastAsia="仿宋"/>
                <w:color w:val="auto"/>
                <w:spacing w:val="-7"/>
                <w:szCs w:val="21"/>
                <w:highlight w:val="none"/>
              </w:rPr>
              <w:t>月</w:t>
            </w:r>
            <w:r>
              <w:rPr>
                <w:rFonts w:eastAsia="仿宋"/>
                <w:color w:val="auto"/>
                <w:spacing w:val="9"/>
                <w:szCs w:val="21"/>
                <w:highlight w:val="none"/>
              </w:rPr>
              <w:t xml:space="preserve">    </w:t>
            </w:r>
            <w:r>
              <w:rPr>
                <w:rFonts w:eastAsia="仿宋"/>
                <w:color w:val="auto"/>
                <w:spacing w:val="-7"/>
                <w:szCs w:val="21"/>
                <w:highlight w:val="none"/>
              </w:rPr>
              <w:t>日</w:t>
            </w:r>
          </w:p>
        </w:tc>
        <w:tc>
          <w:tcPr>
            <w:tcW w:w="3346" w:type="dxa"/>
            <w:gridSpan w:val="3"/>
            <w:vAlign w:val="center"/>
          </w:tcPr>
          <w:p>
            <w:pPr>
              <w:spacing w:before="58" w:line="219" w:lineRule="auto"/>
              <w:rPr>
                <w:rFonts w:eastAsia="仿宋"/>
                <w:color w:val="auto"/>
                <w:szCs w:val="21"/>
                <w:highlight w:val="none"/>
              </w:rPr>
            </w:pPr>
            <w:r>
              <w:rPr>
                <w:rFonts w:hint="eastAsia" w:eastAsia="仿宋"/>
                <w:color w:val="auto"/>
                <w:spacing w:val="-3"/>
                <w:szCs w:val="21"/>
                <w:highlight w:val="none"/>
              </w:rPr>
              <w:t>监理</w:t>
            </w:r>
            <w:r>
              <w:rPr>
                <w:rFonts w:eastAsia="仿宋"/>
                <w:color w:val="auto"/>
                <w:spacing w:val="-3"/>
                <w:szCs w:val="21"/>
                <w:highlight w:val="none"/>
              </w:rPr>
              <w:t>单位</w:t>
            </w:r>
          </w:p>
          <w:p>
            <w:pPr>
              <w:spacing w:before="117" w:line="219" w:lineRule="auto"/>
              <w:rPr>
                <w:rFonts w:eastAsia="仿宋"/>
                <w:color w:val="auto"/>
                <w:spacing w:val="-2"/>
                <w:szCs w:val="21"/>
                <w:highlight w:val="none"/>
              </w:rPr>
            </w:pPr>
            <w:r>
              <w:rPr>
                <w:rFonts w:hint="eastAsia" w:eastAsia="仿宋"/>
                <w:color w:val="auto"/>
                <w:spacing w:val="-2"/>
                <w:szCs w:val="21"/>
                <w:highlight w:val="none"/>
              </w:rPr>
              <w:t>专业监理工程师</w:t>
            </w:r>
            <w:r>
              <w:rPr>
                <w:rFonts w:eastAsia="仿宋"/>
                <w:color w:val="auto"/>
                <w:spacing w:val="-2"/>
                <w:szCs w:val="21"/>
                <w:highlight w:val="none"/>
              </w:rPr>
              <w:t>：</w:t>
            </w:r>
          </w:p>
          <w:p>
            <w:pPr>
              <w:spacing w:before="117"/>
              <w:jc w:val="right"/>
              <w:rPr>
                <w:rFonts w:eastAsia="仿宋"/>
                <w:color w:val="auto"/>
                <w:szCs w:val="21"/>
                <w:highlight w:val="none"/>
              </w:rPr>
            </w:pPr>
            <w:r>
              <w:rPr>
                <w:rFonts w:eastAsia="仿宋"/>
                <w:color w:val="auto"/>
                <w:spacing w:val="-7"/>
                <w:szCs w:val="21"/>
                <w:highlight w:val="none"/>
              </w:rPr>
              <w:t>年</w:t>
            </w:r>
            <w:r>
              <w:rPr>
                <w:rFonts w:eastAsia="仿宋"/>
                <w:color w:val="auto"/>
                <w:spacing w:val="3"/>
                <w:szCs w:val="21"/>
                <w:highlight w:val="none"/>
              </w:rPr>
              <w:t xml:space="preserve">    </w:t>
            </w:r>
            <w:r>
              <w:rPr>
                <w:rFonts w:eastAsia="仿宋"/>
                <w:color w:val="auto"/>
                <w:spacing w:val="-7"/>
                <w:szCs w:val="21"/>
                <w:highlight w:val="none"/>
              </w:rPr>
              <w:t>月</w:t>
            </w:r>
            <w:r>
              <w:rPr>
                <w:rFonts w:eastAsia="仿宋"/>
                <w:color w:val="auto"/>
                <w:spacing w:val="9"/>
                <w:szCs w:val="21"/>
                <w:highlight w:val="none"/>
              </w:rPr>
              <w:t xml:space="preserve">    </w:t>
            </w:r>
            <w:r>
              <w:rPr>
                <w:rFonts w:eastAsia="仿宋"/>
                <w:color w:val="auto"/>
                <w:spacing w:val="-7"/>
                <w:szCs w:val="21"/>
                <w:highlight w:val="none"/>
              </w:rPr>
              <w:t>日</w:t>
            </w:r>
          </w:p>
        </w:tc>
      </w:tr>
    </w:tbl>
    <w:p>
      <w:pPr>
        <w:pStyle w:val="2"/>
        <w:rPr>
          <w:color w:val="auto"/>
          <w:highlight w:val="none"/>
        </w:rPr>
        <w:sectPr>
          <w:pgSz w:w="11906" w:h="16838"/>
          <w:pgMar w:top="1610" w:right="1349" w:bottom="1213" w:left="1293" w:header="851" w:footer="992" w:gutter="0"/>
          <w:cols w:space="720" w:num="1"/>
          <w:docGrid w:type="linesAndChars" w:linePitch="333" w:charSpace="2165"/>
        </w:sectPr>
      </w:pPr>
    </w:p>
    <w:p>
      <w:pPr>
        <w:pStyle w:val="4"/>
        <w:jc w:val="center"/>
        <w:rPr>
          <w:rFonts w:hint="eastAsia"/>
          <w:color w:val="auto"/>
          <w:sz w:val="21"/>
          <w:szCs w:val="32"/>
          <w:highlight w:val="none"/>
        </w:rPr>
      </w:pPr>
      <w:bookmarkStart w:id="1699" w:name="_Toc8564"/>
      <w:bookmarkStart w:id="1700" w:name="_Toc25412"/>
      <w:r>
        <w:rPr>
          <w:rFonts w:hint="eastAsia"/>
          <w:b w:val="0"/>
          <w:bCs/>
          <w:color w:val="auto"/>
          <w:sz w:val="21"/>
          <w:szCs w:val="32"/>
          <w:highlight w:val="none"/>
        </w:rPr>
        <w:t>A</w:t>
      </w:r>
      <w:r>
        <w:rPr>
          <w:rFonts w:hint="eastAsia" w:ascii="Times New Roman" w:hAnsi="Times New Roman" w:eastAsia="黑体" w:cs="Times New Roman"/>
          <w:b w:val="0"/>
          <w:bCs/>
          <w:color w:val="auto"/>
          <w:sz w:val="21"/>
          <w:szCs w:val="32"/>
          <w:highlight w:val="none"/>
        </w:rPr>
        <w:t>.0.</w:t>
      </w:r>
      <w:r>
        <w:rPr>
          <w:rFonts w:hint="eastAsia"/>
          <w:b w:val="0"/>
          <w:bCs/>
          <w:color w:val="auto"/>
          <w:sz w:val="21"/>
          <w:szCs w:val="32"/>
          <w:highlight w:val="none"/>
        </w:rPr>
        <w:t xml:space="preserve">7  </w:t>
      </w:r>
      <w:r>
        <w:rPr>
          <w:rFonts w:hint="eastAsia"/>
          <w:color w:val="auto"/>
          <w:sz w:val="21"/>
          <w:szCs w:val="32"/>
          <w:highlight w:val="none"/>
        </w:rPr>
        <w:t>模块单元吊装及预拼装质量验收记录表</w:t>
      </w:r>
      <w:bookmarkEnd w:id="1699"/>
      <w:bookmarkEnd w:id="1700"/>
    </w:p>
    <w:p>
      <w:pPr>
        <w:autoSpaceDE w:val="0"/>
        <w:autoSpaceDN w:val="0"/>
        <w:adjustRightInd w:val="0"/>
        <w:ind w:left="190"/>
        <w:jc w:val="center"/>
        <w:rPr>
          <w:rFonts w:eastAsia="仿宋"/>
          <w:b/>
          <w:bCs/>
          <w:color w:val="auto"/>
          <w:spacing w:val="0"/>
          <w:kern w:val="0"/>
          <w:szCs w:val="24"/>
          <w:highlight w:val="none"/>
        </w:rPr>
      </w:pPr>
      <w:r>
        <w:rPr>
          <w:rFonts w:eastAsia="仿宋"/>
          <w:b/>
          <w:bCs/>
          <w:color w:val="auto"/>
          <w:spacing w:val="0"/>
          <w:kern w:val="0"/>
          <w:szCs w:val="24"/>
          <w:highlight w:val="none"/>
        </w:rPr>
        <w:t>表A</w:t>
      </w:r>
      <w:r>
        <w:rPr>
          <w:rFonts w:hint="default" w:ascii="Times New Roman" w:hAnsi="Times New Roman" w:eastAsia="仿宋" w:cs="Times New Roman"/>
          <w:b/>
          <w:bCs/>
          <w:color w:val="auto"/>
          <w:spacing w:val="0"/>
          <w:kern w:val="0"/>
          <w:szCs w:val="24"/>
          <w:highlight w:val="none"/>
        </w:rPr>
        <w:t>.0.</w:t>
      </w:r>
      <w:r>
        <w:rPr>
          <w:rFonts w:eastAsia="仿宋"/>
          <w:b/>
          <w:bCs/>
          <w:color w:val="auto"/>
          <w:spacing w:val="0"/>
          <w:kern w:val="0"/>
          <w:szCs w:val="24"/>
          <w:highlight w:val="none"/>
        </w:rPr>
        <w:t>7  模块单元吊装及预拼装质量验收记录表</w:t>
      </w:r>
    </w:p>
    <w:p>
      <w:pPr>
        <w:spacing w:line="38" w:lineRule="exact"/>
        <w:rPr>
          <w:color w:val="auto"/>
          <w:highlight w:val="none"/>
        </w:rPr>
      </w:pPr>
    </w:p>
    <w:tbl>
      <w:tblPr>
        <w:tblStyle w:val="24"/>
        <w:tblW w:w="9347" w:type="dxa"/>
        <w:tblInd w:w="12" w:type="dxa"/>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fixed"/>
        <w:tblCellMar>
          <w:top w:w="0" w:type="dxa"/>
          <w:left w:w="0" w:type="dxa"/>
          <w:bottom w:w="0" w:type="dxa"/>
          <w:right w:w="0" w:type="dxa"/>
        </w:tblCellMar>
      </w:tblPr>
      <w:tblGrid>
        <w:gridCol w:w="559"/>
        <w:gridCol w:w="1769"/>
        <w:gridCol w:w="787"/>
        <w:gridCol w:w="385"/>
        <w:gridCol w:w="1281"/>
        <w:gridCol w:w="452"/>
        <w:gridCol w:w="998"/>
        <w:gridCol w:w="823"/>
        <w:gridCol w:w="1136"/>
        <w:gridCol w:w="1157"/>
      </w:tblGrid>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2328" w:type="dxa"/>
            <w:gridSpan w:val="2"/>
            <w:vAlign w:val="center"/>
          </w:tcPr>
          <w:p>
            <w:pPr>
              <w:jc w:val="center"/>
              <w:rPr>
                <w:rFonts w:eastAsia="仿宋"/>
                <w:color w:val="auto"/>
                <w:szCs w:val="21"/>
                <w:highlight w:val="none"/>
              </w:rPr>
            </w:pPr>
            <w:r>
              <w:rPr>
                <w:rFonts w:eastAsia="仿宋"/>
                <w:color w:val="auto"/>
                <w:spacing w:val="3"/>
                <w:szCs w:val="21"/>
                <w:highlight w:val="none"/>
              </w:rPr>
              <w:t>工程名称</w:t>
            </w:r>
          </w:p>
        </w:tc>
        <w:tc>
          <w:tcPr>
            <w:tcW w:w="7019" w:type="dxa"/>
            <w:gridSpan w:val="8"/>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2328" w:type="dxa"/>
            <w:gridSpan w:val="2"/>
            <w:vAlign w:val="center"/>
          </w:tcPr>
          <w:p>
            <w:pPr>
              <w:jc w:val="center"/>
              <w:rPr>
                <w:rFonts w:eastAsia="仿宋"/>
                <w:color w:val="auto"/>
                <w:szCs w:val="21"/>
                <w:highlight w:val="none"/>
              </w:rPr>
            </w:pPr>
            <w:r>
              <w:rPr>
                <w:rFonts w:eastAsia="仿宋"/>
                <w:color w:val="auto"/>
                <w:spacing w:val="7"/>
                <w:szCs w:val="21"/>
                <w:highlight w:val="none"/>
              </w:rPr>
              <w:t>模块单元编号</w:t>
            </w:r>
          </w:p>
        </w:tc>
        <w:tc>
          <w:tcPr>
            <w:tcW w:w="2905" w:type="dxa"/>
            <w:gridSpan w:val="4"/>
            <w:vAlign w:val="center"/>
          </w:tcPr>
          <w:p>
            <w:pPr>
              <w:jc w:val="center"/>
              <w:rPr>
                <w:rFonts w:eastAsia="仿宋"/>
                <w:color w:val="auto"/>
                <w:szCs w:val="21"/>
                <w:highlight w:val="none"/>
              </w:rPr>
            </w:pPr>
          </w:p>
        </w:tc>
        <w:tc>
          <w:tcPr>
            <w:tcW w:w="1821" w:type="dxa"/>
            <w:gridSpan w:val="2"/>
            <w:vAlign w:val="center"/>
          </w:tcPr>
          <w:p>
            <w:pPr>
              <w:jc w:val="center"/>
              <w:rPr>
                <w:rFonts w:eastAsia="仿宋"/>
                <w:color w:val="auto"/>
                <w:szCs w:val="21"/>
                <w:highlight w:val="none"/>
              </w:rPr>
            </w:pPr>
            <w:r>
              <w:rPr>
                <w:rFonts w:eastAsia="仿宋"/>
                <w:color w:val="auto"/>
                <w:spacing w:val="5"/>
                <w:szCs w:val="21"/>
                <w:highlight w:val="none"/>
              </w:rPr>
              <w:t>产品编号</w:t>
            </w:r>
          </w:p>
        </w:tc>
        <w:tc>
          <w:tcPr>
            <w:tcW w:w="2293" w:type="dxa"/>
            <w:gridSpan w:val="2"/>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2328" w:type="dxa"/>
            <w:gridSpan w:val="2"/>
            <w:vAlign w:val="center"/>
          </w:tcPr>
          <w:p>
            <w:pPr>
              <w:jc w:val="center"/>
              <w:rPr>
                <w:rFonts w:eastAsia="仿宋"/>
                <w:color w:val="auto"/>
                <w:szCs w:val="21"/>
                <w:highlight w:val="none"/>
              </w:rPr>
            </w:pPr>
            <w:r>
              <w:rPr>
                <w:rFonts w:eastAsia="仿宋"/>
                <w:color w:val="auto"/>
                <w:spacing w:val="5"/>
                <w:szCs w:val="21"/>
                <w:highlight w:val="none"/>
              </w:rPr>
              <w:t>制造批次</w:t>
            </w:r>
          </w:p>
        </w:tc>
        <w:tc>
          <w:tcPr>
            <w:tcW w:w="2905" w:type="dxa"/>
            <w:gridSpan w:val="4"/>
            <w:vAlign w:val="center"/>
          </w:tcPr>
          <w:p>
            <w:pPr>
              <w:jc w:val="center"/>
              <w:rPr>
                <w:rFonts w:eastAsia="仿宋"/>
                <w:color w:val="auto"/>
                <w:szCs w:val="21"/>
                <w:highlight w:val="none"/>
              </w:rPr>
            </w:pPr>
          </w:p>
        </w:tc>
        <w:tc>
          <w:tcPr>
            <w:tcW w:w="1821" w:type="dxa"/>
            <w:gridSpan w:val="2"/>
            <w:vAlign w:val="center"/>
          </w:tcPr>
          <w:p>
            <w:pPr>
              <w:jc w:val="center"/>
              <w:rPr>
                <w:rFonts w:eastAsia="仿宋"/>
                <w:color w:val="auto"/>
                <w:szCs w:val="21"/>
                <w:highlight w:val="none"/>
              </w:rPr>
            </w:pPr>
            <w:r>
              <w:rPr>
                <w:rFonts w:eastAsia="仿宋"/>
                <w:color w:val="auto"/>
                <w:spacing w:val="5"/>
                <w:szCs w:val="21"/>
                <w:highlight w:val="none"/>
              </w:rPr>
              <w:t>检查日期</w:t>
            </w:r>
          </w:p>
        </w:tc>
        <w:tc>
          <w:tcPr>
            <w:tcW w:w="2293" w:type="dxa"/>
            <w:gridSpan w:val="2"/>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3500" w:type="dxa"/>
            <w:gridSpan w:val="4"/>
            <w:vMerge w:val="restart"/>
            <w:tcBorders>
              <w:bottom w:val="nil"/>
            </w:tcBorders>
            <w:vAlign w:val="center"/>
          </w:tcPr>
          <w:p>
            <w:pPr>
              <w:jc w:val="center"/>
              <w:rPr>
                <w:rFonts w:eastAsia="仿宋"/>
                <w:color w:val="auto"/>
                <w:szCs w:val="21"/>
                <w:highlight w:val="none"/>
              </w:rPr>
            </w:pPr>
            <w:r>
              <w:rPr>
                <w:rFonts w:eastAsia="仿宋"/>
                <w:color w:val="auto"/>
                <w:spacing w:val="-2"/>
                <w:szCs w:val="21"/>
                <w:highlight w:val="none"/>
              </w:rPr>
              <w:t>检查项目及内容</w:t>
            </w:r>
          </w:p>
        </w:tc>
        <w:tc>
          <w:tcPr>
            <w:tcW w:w="1281" w:type="dxa"/>
            <w:vMerge w:val="restart"/>
            <w:tcBorders>
              <w:bottom w:val="nil"/>
            </w:tcBorders>
            <w:vAlign w:val="center"/>
          </w:tcPr>
          <w:p>
            <w:pPr>
              <w:jc w:val="center"/>
              <w:rPr>
                <w:rFonts w:eastAsia="仿宋"/>
                <w:color w:val="auto"/>
                <w:szCs w:val="21"/>
                <w:highlight w:val="none"/>
              </w:rPr>
            </w:pPr>
            <w:r>
              <w:rPr>
                <w:rFonts w:eastAsia="仿宋"/>
                <w:color w:val="auto"/>
                <w:spacing w:val="6"/>
                <w:szCs w:val="21"/>
                <w:highlight w:val="none"/>
              </w:rPr>
              <w:t>设计要求及规</w:t>
            </w:r>
            <w:r>
              <w:rPr>
                <w:rFonts w:eastAsia="仿宋"/>
                <w:color w:val="auto"/>
                <w:spacing w:val="3"/>
                <w:szCs w:val="21"/>
                <w:highlight w:val="none"/>
              </w:rPr>
              <w:t xml:space="preserve"> </w:t>
            </w:r>
            <w:r>
              <w:rPr>
                <w:rFonts w:eastAsia="仿宋"/>
                <w:color w:val="auto"/>
                <w:spacing w:val="4"/>
                <w:szCs w:val="21"/>
                <w:highlight w:val="none"/>
              </w:rPr>
              <w:t>范规定</w:t>
            </w:r>
          </w:p>
        </w:tc>
        <w:tc>
          <w:tcPr>
            <w:tcW w:w="4566" w:type="dxa"/>
            <w:gridSpan w:val="5"/>
            <w:vAlign w:val="center"/>
          </w:tcPr>
          <w:p>
            <w:pPr>
              <w:jc w:val="center"/>
              <w:rPr>
                <w:rFonts w:eastAsia="仿宋"/>
                <w:color w:val="auto"/>
                <w:szCs w:val="21"/>
                <w:highlight w:val="none"/>
              </w:rPr>
            </w:pPr>
            <w:r>
              <w:rPr>
                <w:rFonts w:eastAsia="仿宋"/>
                <w:color w:val="auto"/>
                <w:spacing w:val="-2"/>
                <w:szCs w:val="21"/>
                <w:highlight w:val="none"/>
              </w:rPr>
              <w:t>检查</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3500" w:type="dxa"/>
            <w:gridSpan w:val="4"/>
            <w:vMerge w:val="continue"/>
            <w:tcBorders>
              <w:top w:val="nil"/>
            </w:tcBorders>
            <w:vAlign w:val="center"/>
          </w:tcPr>
          <w:p>
            <w:pPr>
              <w:jc w:val="center"/>
              <w:rPr>
                <w:rFonts w:eastAsia="仿宋"/>
                <w:color w:val="auto"/>
                <w:szCs w:val="21"/>
                <w:highlight w:val="none"/>
              </w:rPr>
            </w:pPr>
          </w:p>
        </w:tc>
        <w:tc>
          <w:tcPr>
            <w:tcW w:w="1281" w:type="dxa"/>
            <w:vMerge w:val="continue"/>
            <w:tcBorders>
              <w:top w:val="nil"/>
            </w:tcBorders>
            <w:vAlign w:val="center"/>
          </w:tcPr>
          <w:p>
            <w:pPr>
              <w:jc w:val="center"/>
              <w:rPr>
                <w:rFonts w:eastAsia="仿宋"/>
                <w:color w:val="auto"/>
                <w:szCs w:val="21"/>
                <w:highlight w:val="none"/>
              </w:rPr>
            </w:pPr>
          </w:p>
        </w:tc>
        <w:tc>
          <w:tcPr>
            <w:tcW w:w="2273" w:type="dxa"/>
            <w:gridSpan w:val="3"/>
            <w:vAlign w:val="center"/>
          </w:tcPr>
          <w:p>
            <w:pPr>
              <w:jc w:val="center"/>
              <w:rPr>
                <w:rFonts w:eastAsia="仿宋"/>
                <w:color w:val="auto"/>
                <w:szCs w:val="21"/>
                <w:highlight w:val="none"/>
              </w:rPr>
            </w:pPr>
            <w:r>
              <w:rPr>
                <w:rFonts w:hint="eastAsia" w:eastAsia="仿宋"/>
                <w:color w:val="auto"/>
                <w:spacing w:val="-2"/>
                <w:szCs w:val="21"/>
                <w:highlight w:val="none"/>
              </w:rPr>
              <w:t>检验结果</w:t>
            </w:r>
          </w:p>
        </w:tc>
        <w:tc>
          <w:tcPr>
            <w:tcW w:w="1136" w:type="dxa"/>
            <w:vAlign w:val="center"/>
          </w:tcPr>
          <w:p>
            <w:pPr>
              <w:jc w:val="center"/>
              <w:rPr>
                <w:rFonts w:eastAsia="仿宋"/>
                <w:color w:val="auto"/>
                <w:szCs w:val="21"/>
                <w:highlight w:val="none"/>
              </w:rPr>
            </w:pPr>
            <w:r>
              <w:rPr>
                <w:rFonts w:eastAsia="仿宋"/>
                <w:color w:val="auto"/>
                <w:spacing w:val="6"/>
                <w:szCs w:val="21"/>
                <w:highlight w:val="none"/>
              </w:rPr>
              <w:t>质量检查员</w:t>
            </w:r>
          </w:p>
        </w:tc>
        <w:tc>
          <w:tcPr>
            <w:tcW w:w="1157" w:type="dxa"/>
            <w:vAlign w:val="center"/>
          </w:tcPr>
          <w:p>
            <w:pPr>
              <w:jc w:val="center"/>
              <w:rPr>
                <w:rFonts w:eastAsia="仿宋"/>
                <w:color w:val="auto"/>
                <w:szCs w:val="21"/>
                <w:highlight w:val="none"/>
              </w:rPr>
            </w:pPr>
            <w:r>
              <w:rPr>
                <w:rFonts w:eastAsia="仿宋"/>
                <w:color w:val="auto"/>
                <w:spacing w:val="6"/>
                <w:szCs w:val="21"/>
                <w:highlight w:val="none"/>
              </w:rPr>
              <w:t>质量复核人</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1588" w:hRule="atLeast"/>
        </w:trPr>
        <w:tc>
          <w:tcPr>
            <w:tcW w:w="559" w:type="dxa"/>
            <w:vAlign w:val="center"/>
          </w:tcPr>
          <w:p>
            <w:pPr>
              <w:pStyle w:val="79"/>
              <w:jc w:val="center"/>
              <w:rPr>
                <w:rFonts w:eastAsia="仿宋"/>
                <w:color w:val="auto"/>
                <w:sz w:val="21"/>
                <w:szCs w:val="21"/>
                <w:highlight w:val="none"/>
              </w:rPr>
            </w:pPr>
            <w:r>
              <w:rPr>
                <w:rFonts w:eastAsia="仿宋"/>
                <w:color w:val="auto"/>
                <w:sz w:val="21"/>
                <w:szCs w:val="21"/>
                <w:highlight w:val="none"/>
              </w:rPr>
              <w:t>1</w:t>
            </w:r>
          </w:p>
        </w:tc>
        <w:tc>
          <w:tcPr>
            <w:tcW w:w="2941" w:type="dxa"/>
            <w:gridSpan w:val="3"/>
            <w:vAlign w:val="center"/>
          </w:tcPr>
          <w:p>
            <w:pPr>
              <w:jc w:val="center"/>
              <w:rPr>
                <w:rFonts w:eastAsia="仿宋"/>
                <w:color w:val="auto"/>
                <w:szCs w:val="21"/>
                <w:highlight w:val="none"/>
              </w:rPr>
            </w:pPr>
            <w:r>
              <w:rPr>
                <w:rFonts w:eastAsia="仿宋"/>
                <w:color w:val="auto"/>
                <w:spacing w:val="8"/>
                <w:szCs w:val="21"/>
                <w:highlight w:val="none"/>
              </w:rPr>
              <w:t>混凝土模块单元的预埋吊环检查</w:t>
            </w:r>
          </w:p>
        </w:tc>
        <w:tc>
          <w:tcPr>
            <w:tcW w:w="1281" w:type="dxa"/>
            <w:vMerge w:val="restart"/>
            <w:tcBorders>
              <w:bottom w:val="nil"/>
            </w:tcBorders>
            <w:vAlign w:val="center"/>
          </w:tcPr>
          <w:p>
            <w:pPr>
              <w:jc w:val="center"/>
              <w:rPr>
                <w:rFonts w:eastAsia="仿宋"/>
                <w:color w:val="auto"/>
                <w:szCs w:val="21"/>
                <w:highlight w:val="none"/>
              </w:rPr>
            </w:pPr>
          </w:p>
        </w:tc>
        <w:tc>
          <w:tcPr>
            <w:tcW w:w="2273" w:type="dxa"/>
            <w:gridSpan w:val="3"/>
            <w:vAlign w:val="center"/>
          </w:tcPr>
          <w:p>
            <w:pPr>
              <w:jc w:val="center"/>
              <w:rPr>
                <w:rFonts w:eastAsia="仿宋"/>
                <w:color w:val="auto"/>
                <w:szCs w:val="21"/>
                <w:highlight w:val="none"/>
              </w:rPr>
            </w:pPr>
          </w:p>
        </w:tc>
        <w:tc>
          <w:tcPr>
            <w:tcW w:w="1136" w:type="dxa"/>
            <w:vAlign w:val="center"/>
          </w:tcPr>
          <w:p>
            <w:pPr>
              <w:jc w:val="center"/>
              <w:rPr>
                <w:rFonts w:eastAsia="仿宋"/>
                <w:color w:val="auto"/>
                <w:szCs w:val="21"/>
                <w:highlight w:val="none"/>
              </w:rPr>
            </w:pPr>
          </w:p>
        </w:tc>
        <w:tc>
          <w:tcPr>
            <w:tcW w:w="1157" w:type="dxa"/>
            <w:vMerge w:val="restart"/>
            <w:tcBorders>
              <w:bottom w:val="nil"/>
            </w:tcBorders>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1588" w:hRule="atLeast"/>
        </w:trPr>
        <w:tc>
          <w:tcPr>
            <w:tcW w:w="559" w:type="dxa"/>
            <w:vAlign w:val="center"/>
          </w:tcPr>
          <w:p>
            <w:pPr>
              <w:pStyle w:val="79"/>
              <w:jc w:val="center"/>
              <w:rPr>
                <w:rFonts w:eastAsia="仿宋"/>
                <w:color w:val="auto"/>
                <w:sz w:val="21"/>
                <w:szCs w:val="21"/>
                <w:highlight w:val="none"/>
              </w:rPr>
            </w:pPr>
            <w:r>
              <w:rPr>
                <w:rFonts w:eastAsia="仿宋"/>
                <w:color w:val="auto"/>
                <w:sz w:val="21"/>
                <w:szCs w:val="21"/>
                <w:highlight w:val="none"/>
              </w:rPr>
              <w:t>2</w:t>
            </w:r>
          </w:p>
        </w:tc>
        <w:tc>
          <w:tcPr>
            <w:tcW w:w="2941" w:type="dxa"/>
            <w:gridSpan w:val="3"/>
            <w:vAlign w:val="center"/>
          </w:tcPr>
          <w:p>
            <w:pPr>
              <w:jc w:val="center"/>
              <w:rPr>
                <w:rFonts w:eastAsia="仿宋"/>
                <w:color w:val="auto"/>
                <w:szCs w:val="21"/>
                <w:highlight w:val="none"/>
              </w:rPr>
            </w:pPr>
            <w:r>
              <w:rPr>
                <w:rFonts w:eastAsia="仿宋"/>
                <w:color w:val="auto"/>
                <w:spacing w:val="8"/>
                <w:szCs w:val="21"/>
                <w:highlight w:val="none"/>
              </w:rPr>
              <w:t>额定起重量、模块单元总重量</w:t>
            </w:r>
          </w:p>
        </w:tc>
        <w:tc>
          <w:tcPr>
            <w:tcW w:w="1281" w:type="dxa"/>
            <w:vMerge w:val="continue"/>
            <w:tcBorders>
              <w:top w:val="nil"/>
              <w:bottom w:val="nil"/>
            </w:tcBorders>
            <w:vAlign w:val="center"/>
          </w:tcPr>
          <w:p>
            <w:pPr>
              <w:jc w:val="center"/>
              <w:rPr>
                <w:rFonts w:eastAsia="仿宋"/>
                <w:color w:val="auto"/>
                <w:szCs w:val="21"/>
                <w:highlight w:val="none"/>
              </w:rPr>
            </w:pPr>
          </w:p>
        </w:tc>
        <w:tc>
          <w:tcPr>
            <w:tcW w:w="2273" w:type="dxa"/>
            <w:gridSpan w:val="3"/>
            <w:vAlign w:val="center"/>
          </w:tcPr>
          <w:p>
            <w:pPr>
              <w:jc w:val="center"/>
              <w:rPr>
                <w:rFonts w:eastAsia="仿宋"/>
                <w:color w:val="auto"/>
                <w:szCs w:val="21"/>
                <w:highlight w:val="none"/>
              </w:rPr>
            </w:pPr>
          </w:p>
        </w:tc>
        <w:tc>
          <w:tcPr>
            <w:tcW w:w="1136" w:type="dxa"/>
            <w:vAlign w:val="center"/>
          </w:tcPr>
          <w:p>
            <w:pPr>
              <w:jc w:val="center"/>
              <w:rPr>
                <w:rFonts w:eastAsia="仿宋"/>
                <w:color w:val="auto"/>
                <w:szCs w:val="21"/>
                <w:highlight w:val="none"/>
              </w:rPr>
            </w:pPr>
          </w:p>
        </w:tc>
        <w:tc>
          <w:tcPr>
            <w:tcW w:w="1157" w:type="dxa"/>
            <w:vMerge w:val="continue"/>
            <w:tcBorders>
              <w:top w:val="nil"/>
              <w:bottom w:val="nil"/>
            </w:tcBorders>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1589" w:hRule="atLeast"/>
        </w:trPr>
        <w:tc>
          <w:tcPr>
            <w:tcW w:w="559" w:type="dxa"/>
            <w:vAlign w:val="center"/>
          </w:tcPr>
          <w:p>
            <w:pPr>
              <w:pStyle w:val="79"/>
              <w:jc w:val="center"/>
              <w:rPr>
                <w:rFonts w:eastAsia="仿宋"/>
                <w:color w:val="auto"/>
                <w:sz w:val="21"/>
                <w:szCs w:val="21"/>
                <w:highlight w:val="none"/>
              </w:rPr>
            </w:pPr>
            <w:r>
              <w:rPr>
                <w:rFonts w:eastAsia="仿宋"/>
                <w:color w:val="auto"/>
                <w:sz w:val="21"/>
                <w:szCs w:val="21"/>
                <w:highlight w:val="none"/>
              </w:rPr>
              <w:t>3</w:t>
            </w:r>
          </w:p>
        </w:tc>
        <w:tc>
          <w:tcPr>
            <w:tcW w:w="2941" w:type="dxa"/>
            <w:gridSpan w:val="3"/>
            <w:vAlign w:val="center"/>
          </w:tcPr>
          <w:p>
            <w:pPr>
              <w:jc w:val="center"/>
              <w:rPr>
                <w:rFonts w:eastAsia="仿宋"/>
                <w:color w:val="auto"/>
                <w:szCs w:val="21"/>
                <w:highlight w:val="none"/>
              </w:rPr>
            </w:pPr>
            <w:r>
              <w:rPr>
                <w:rFonts w:eastAsia="仿宋"/>
                <w:color w:val="auto"/>
                <w:spacing w:val="8"/>
                <w:szCs w:val="21"/>
                <w:highlight w:val="none"/>
              </w:rPr>
              <w:t>混凝土模块单元吊装后外观质量检</w:t>
            </w:r>
            <w:r>
              <w:rPr>
                <w:rFonts w:eastAsia="仿宋"/>
                <w:color w:val="auto"/>
                <w:szCs w:val="21"/>
                <w:highlight w:val="none"/>
              </w:rPr>
              <w:t>测</w:t>
            </w:r>
          </w:p>
        </w:tc>
        <w:tc>
          <w:tcPr>
            <w:tcW w:w="1281" w:type="dxa"/>
            <w:vMerge w:val="continue"/>
            <w:tcBorders>
              <w:top w:val="nil"/>
              <w:bottom w:val="nil"/>
            </w:tcBorders>
            <w:vAlign w:val="center"/>
          </w:tcPr>
          <w:p>
            <w:pPr>
              <w:jc w:val="center"/>
              <w:rPr>
                <w:rFonts w:eastAsia="仿宋"/>
                <w:color w:val="auto"/>
                <w:szCs w:val="21"/>
                <w:highlight w:val="none"/>
              </w:rPr>
            </w:pPr>
          </w:p>
        </w:tc>
        <w:tc>
          <w:tcPr>
            <w:tcW w:w="2273" w:type="dxa"/>
            <w:gridSpan w:val="3"/>
            <w:vAlign w:val="center"/>
          </w:tcPr>
          <w:p>
            <w:pPr>
              <w:jc w:val="center"/>
              <w:rPr>
                <w:rFonts w:eastAsia="仿宋"/>
                <w:color w:val="auto"/>
                <w:szCs w:val="21"/>
                <w:highlight w:val="none"/>
              </w:rPr>
            </w:pPr>
          </w:p>
        </w:tc>
        <w:tc>
          <w:tcPr>
            <w:tcW w:w="1136" w:type="dxa"/>
            <w:vAlign w:val="center"/>
          </w:tcPr>
          <w:p>
            <w:pPr>
              <w:jc w:val="center"/>
              <w:rPr>
                <w:rFonts w:eastAsia="仿宋"/>
                <w:color w:val="auto"/>
                <w:szCs w:val="21"/>
                <w:highlight w:val="none"/>
              </w:rPr>
            </w:pPr>
          </w:p>
        </w:tc>
        <w:tc>
          <w:tcPr>
            <w:tcW w:w="1157" w:type="dxa"/>
            <w:vMerge w:val="continue"/>
            <w:tcBorders>
              <w:top w:val="nil"/>
              <w:bottom w:val="nil"/>
            </w:tcBorders>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1588" w:hRule="atLeast"/>
        </w:trPr>
        <w:tc>
          <w:tcPr>
            <w:tcW w:w="559" w:type="dxa"/>
            <w:vAlign w:val="center"/>
          </w:tcPr>
          <w:p>
            <w:pPr>
              <w:pStyle w:val="79"/>
              <w:jc w:val="center"/>
              <w:rPr>
                <w:rFonts w:eastAsia="仿宋"/>
                <w:color w:val="auto"/>
                <w:sz w:val="21"/>
                <w:szCs w:val="21"/>
                <w:highlight w:val="none"/>
              </w:rPr>
            </w:pPr>
            <w:r>
              <w:rPr>
                <w:rFonts w:eastAsia="仿宋"/>
                <w:color w:val="auto"/>
                <w:sz w:val="21"/>
                <w:szCs w:val="21"/>
                <w:highlight w:val="none"/>
              </w:rPr>
              <w:t>4</w:t>
            </w:r>
          </w:p>
        </w:tc>
        <w:tc>
          <w:tcPr>
            <w:tcW w:w="2941" w:type="dxa"/>
            <w:gridSpan w:val="3"/>
            <w:vAlign w:val="center"/>
          </w:tcPr>
          <w:p>
            <w:pPr>
              <w:jc w:val="center"/>
              <w:rPr>
                <w:rFonts w:eastAsia="仿宋"/>
                <w:color w:val="auto"/>
                <w:szCs w:val="21"/>
                <w:highlight w:val="none"/>
              </w:rPr>
            </w:pPr>
            <w:r>
              <w:rPr>
                <w:rFonts w:eastAsia="仿宋"/>
                <w:color w:val="auto"/>
                <w:spacing w:val="7"/>
                <w:szCs w:val="21"/>
                <w:highlight w:val="none"/>
              </w:rPr>
              <w:t>拼装质量检测</w:t>
            </w:r>
          </w:p>
        </w:tc>
        <w:tc>
          <w:tcPr>
            <w:tcW w:w="1281" w:type="dxa"/>
            <w:vMerge w:val="continue"/>
            <w:tcBorders>
              <w:top w:val="nil"/>
            </w:tcBorders>
            <w:vAlign w:val="center"/>
          </w:tcPr>
          <w:p>
            <w:pPr>
              <w:jc w:val="center"/>
              <w:rPr>
                <w:rFonts w:eastAsia="仿宋"/>
                <w:color w:val="auto"/>
                <w:szCs w:val="21"/>
                <w:highlight w:val="none"/>
              </w:rPr>
            </w:pPr>
          </w:p>
        </w:tc>
        <w:tc>
          <w:tcPr>
            <w:tcW w:w="2273" w:type="dxa"/>
            <w:gridSpan w:val="3"/>
            <w:vAlign w:val="center"/>
          </w:tcPr>
          <w:p>
            <w:pPr>
              <w:jc w:val="center"/>
              <w:rPr>
                <w:rFonts w:eastAsia="仿宋"/>
                <w:color w:val="auto"/>
                <w:szCs w:val="21"/>
                <w:highlight w:val="none"/>
              </w:rPr>
            </w:pPr>
          </w:p>
        </w:tc>
        <w:tc>
          <w:tcPr>
            <w:tcW w:w="1136" w:type="dxa"/>
            <w:vAlign w:val="center"/>
          </w:tcPr>
          <w:p>
            <w:pPr>
              <w:jc w:val="center"/>
              <w:rPr>
                <w:rFonts w:eastAsia="仿宋"/>
                <w:color w:val="auto"/>
                <w:szCs w:val="21"/>
                <w:highlight w:val="none"/>
              </w:rPr>
            </w:pPr>
          </w:p>
        </w:tc>
        <w:tc>
          <w:tcPr>
            <w:tcW w:w="1157" w:type="dxa"/>
            <w:vMerge w:val="continue"/>
            <w:tcBorders>
              <w:top w:val="nil"/>
            </w:tcBorders>
            <w:vAlign w:val="center"/>
          </w:tcPr>
          <w:p>
            <w:pPr>
              <w:jc w:val="center"/>
              <w:rPr>
                <w:rFonts w:eastAsia="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292" w:hRule="atLeast"/>
        </w:trPr>
        <w:tc>
          <w:tcPr>
            <w:tcW w:w="3115" w:type="dxa"/>
            <w:gridSpan w:val="3"/>
            <w:vAlign w:val="center"/>
          </w:tcPr>
          <w:p>
            <w:pPr>
              <w:spacing w:before="58" w:line="219" w:lineRule="auto"/>
              <w:rPr>
                <w:rFonts w:eastAsia="仿宋"/>
                <w:color w:val="auto"/>
                <w:szCs w:val="21"/>
                <w:highlight w:val="none"/>
              </w:rPr>
            </w:pPr>
            <w:r>
              <w:rPr>
                <w:rFonts w:hint="eastAsia" w:eastAsia="仿宋"/>
                <w:color w:val="auto"/>
                <w:spacing w:val="-3"/>
                <w:szCs w:val="21"/>
                <w:highlight w:val="none"/>
              </w:rPr>
              <w:t>模块制作</w:t>
            </w:r>
            <w:r>
              <w:rPr>
                <w:rFonts w:eastAsia="仿宋"/>
                <w:color w:val="auto"/>
                <w:spacing w:val="-3"/>
                <w:szCs w:val="21"/>
                <w:highlight w:val="none"/>
              </w:rPr>
              <w:t>单位</w:t>
            </w:r>
          </w:p>
          <w:p>
            <w:pPr>
              <w:spacing w:before="117" w:line="219" w:lineRule="auto"/>
              <w:rPr>
                <w:rFonts w:eastAsia="仿宋"/>
                <w:color w:val="auto"/>
                <w:spacing w:val="-2"/>
                <w:szCs w:val="21"/>
                <w:highlight w:val="none"/>
              </w:rPr>
            </w:pPr>
            <w:r>
              <w:rPr>
                <w:rFonts w:eastAsia="仿宋"/>
                <w:color w:val="auto"/>
                <w:spacing w:val="-2"/>
                <w:szCs w:val="21"/>
                <w:highlight w:val="none"/>
              </w:rPr>
              <w:t>项目负责人：</w:t>
            </w:r>
          </w:p>
          <w:p>
            <w:pPr>
              <w:spacing w:before="120" w:line="219" w:lineRule="auto"/>
              <w:jc w:val="right"/>
              <w:rPr>
                <w:rFonts w:eastAsia="仿宋"/>
                <w:color w:val="auto"/>
                <w:szCs w:val="21"/>
                <w:highlight w:val="none"/>
              </w:rPr>
            </w:pPr>
            <w:r>
              <w:rPr>
                <w:rFonts w:eastAsia="仿宋"/>
                <w:color w:val="auto"/>
                <w:spacing w:val="-7"/>
                <w:szCs w:val="21"/>
                <w:highlight w:val="none"/>
              </w:rPr>
              <w:t>年</w:t>
            </w:r>
            <w:r>
              <w:rPr>
                <w:rFonts w:eastAsia="仿宋"/>
                <w:color w:val="auto"/>
                <w:spacing w:val="3"/>
                <w:szCs w:val="21"/>
                <w:highlight w:val="none"/>
              </w:rPr>
              <w:t xml:space="preserve">    </w:t>
            </w:r>
            <w:r>
              <w:rPr>
                <w:rFonts w:eastAsia="仿宋"/>
                <w:color w:val="auto"/>
                <w:spacing w:val="-7"/>
                <w:szCs w:val="21"/>
                <w:highlight w:val="none"/>
              </w:rPr>
              <w:t>月</w:t>
            </w:r>
            <w:r>
              <w:rPr>
                <w:rFonts w:eastAsia="仿宋"/>
                <w:color w:val="auto"/>
                <w:spacing w:val="9"/>
                <w:szCs w:val="21"/>
                <w:highlight w:val="none"/>
              </w:rPr>
              <w:t xml:space="preserve">    </w:t>
            </w:r>
            <w:r>
              <w:rPr>
                <w:rFonts w:eastAsia="仿宋"/>
                <w:color w:val="auto"/>
                <w:spacing w:val="-7"/>
                <w:szCs w:val="21"/>
                <w:highlight w:val="none"/>
              </w:rPr>
              <w:t>日</w:t>
            </w:r>
          </w:p>
        </w:tc>
        <w:tc>
          <w:tcPr>
            <w:tcW w:w="3116" w:type="dxa"/>
            <w:gridSpan w:val="4"/>
            <w:vAlign w:val="center"/>
          </w:tcPr>
          <w:p>
            <w:pPr>
              <w:spacing w:before="58" w:line="219" w:lineRule="auto"/>
              <w:rPr>
                <w:rFonts w:eastAsia="仿宋"/>
                <w:color w:val="auto"/>
                <w:szCs w:val="21"/>
                <w:highlight w:val="none"/>
              </w:rPr>
            </w:pPr>
            <w:r>
              <w:rPr>
                <w:rFonts w:hint="eastAsia" w:eastAsia="仿宋"/>
                <w:color w:val="auto"/>
                <w:spacing w:val="-3"/>
                <w:szCs w:val="21"/>
                <w:highlight w:val="none"/>
              </w:rPr>
              <w:t>施工</w:t>
            </w:r>
            <w:r>
              <w:rPr>
                <w:rFonts w:eastAsia="仿宋"/>
                <w:color w:val="auto"/>
                <w:spacing w:val="-3"/>
                <w:szCs w:val="21"/>
                <w:highlight w:val="none"/>
              </w:rPr>
              <w:t>单位</w:t>
            </w:r>
          </w:p>
          <w:p>
            <w:pPr>
              <w:spacing w:before="117" w:line="219" w:lineRule="auto"/>
              <w:rPr>
                <w:rFonts w:eastAsia="仿宋"/>
                <w:color w:val="auto"/>
                <w:spacing w:val="-2"/>
                <w:szCs w:val="21"/>
                <w:highlight w:val="none"/>
              </w:rPr>
            </w:pPr>
            <w:r>
              <w:rPr>
                <w:rFonts w:eastAsia="仿宋"/>
                <w:color w:val="auto"/>
                <w:spacing w:val="-2"/>
                <w:szCs w:val="21"/>
                <w:highlight w:val="none"/>
              </w:rPr>
              <w:t>项目负责人：</w:t>
            </w:r>
          </w:p>
          <w:p>
            <w:pPr>
              <w:spacing w:before="120" w:line="219" w:lineRule="auto"/>
              <w:jc w:val="right"/>
              <w:rPr>
                <w:rFonts w:eastAsia="仿宋"/>
                <w:color w:val="auto"/>
                <w:spacing w:val="-2"/>
                <w:szCs w:val="21"/>
                <w:highlight w:val="none"/>
              </w:rPr>
            </w:pPr>
            <w:r>
              <w:rPr>
                <w:rFonts w:eastAsia="仿宋"/>
                <w:color w:val="auto"/>
                <w:spacing w:val="-7"/>
                <w:szCs w:val="21"/>
                <w:highlight w:val="none"/>
              </w:rPr>
              <w:t>年</w:t>
            </w:r>
            <w:r>
              <w:rPr>
                <w:rFonts w:eastAsia="仿宋"/>
                <w:color w:val="auto"/>
                <w:spacing w:val="3"/>
                <w:szCs w:val="21"/>
                <w:highlight w:val="none"/>
              </w:rPr>
              <w:t xml:space="preserve">    </w:t>
            </w:r>
            <w:r>
              <w:rPr>
                <w:rFonts w:eastAsia="仿宋"/>
                <w:color w:val="auto"/>
                <w:spacing w:val="-7"/>
                <w:szCs w:val="21"/>
                <w:highlight w:val="none"/>
              </w:rPr>
              <w:t>月</w:t>
            </w:r>
            <w:r>
              <w:rPr>
                <w:rFonts w:eastAsia="仿宋"/>
                <w:color w:val="auto"/>
                <w:spacing w:val="9"/>
                <w:szCs w:val="21"/>
                <w:highlight w:val="none"/>
              </w:rPr>
              <w:t xml:space="preserve">    </w:t>
            </w:r>
            <w:r>
              <w:rPr>
                <w:rFonts w:eastAsia="仿宋"/>
                <w:color w:val="auto"/>
                <w:spacing w:val="-7"/>
                <w:szCs w:val="21"/>
                <w:highlight w:val="none"/>
              </w:rPr>
              <w:t>日</w:t>
            </w:r>
          </w:p>
        </w:tc>
        <w:tc>
          <w:tcPr>
            <w:tcW w:w="3116" w:type="dxa"/>
            <w:gridSpan w:val="3"/>
            <w:vAlign w:val="center"/>
          </w:tcPr>
          <w:p>
            <w:pPr>
              <w:spacing w:before="58" w:line="219" w:lineRule="auto"/>
              <w:rPr>
                <w:rFonts w:eastAsia="仿宋"/>
                <w:color w:val="auto"/>
                <w:szCs w:val="21"/>
                <w:highlight w:val="none"/>
              </w:rPr>
            </w:pPr>
            <w:r>
              <w:rPr>
                <w:rFonts w:hint="eastAsia" w:eastAsia="仿宋"/>
                <w:color w:val="auto"/>
                <w:spacing w:val="-3"/>
                <w:szCs w:val="21"/>
                <w:highlight w:val="none"/>
              </w:rPr>
              <w:t>监理</w:t>
            </w:r>
            <w:r>
              <w:rPr>
                <w:rFonts w:eastAsia="仿宋"/>
                <w:color w:val="auto"/>
                <w:spacing w:val="-3"/>
                <w:szCs w:val="21"/>
                <w:highlight w:val="none"/>
              </w:rPr>
              <w:t>单位</w:t>
            </w:r>
          </w:p>
          <w:p>
            <w:pPr>
              <w:spacing w:before="117" w:line="219" w:lineRule="auto"/>
              <w:rPr>
                <w:rFonts w:eastAsia="仿宋"/>
                <w:color w:val="auto"/>
                <w:spacing w:val="-2"/>
                <w:szCs w:val="21"/>
                <w:highlight w:val="none"/>
              </w:rPr>
            </w:pPr>
            <w:r>
              <w:rPr>
                <w:rFonts w:hint="eastAsia" w:eastAsia="仿宋"/>
                <w:color w:val="auto"/>
                <w:spacing w:val="-2"/>
                <w:szCs w:val="21"/>
                <w:highlight w:val="none"/>
              </w:rPr>
              <w:t>专业监理工程师</w:t>
            </w:r>
            <w:r>
              <w:rPr>
                <w:rFonts w:eastAsia="仿宋"/>
                <w:color w:val="auto"/>
                <w:spacing w:val="-2"/>
                <w:szCs w:val="21"/>
                <w:highlight w:val="none"/>
              </w:rPr>
              <w:t>：</w:t>
            </w:r>
          </w:p>
          <w:p>
            <w:pPr>
              <w:spacing w:before="120" w:line="219" w:lineRule="auto"/>
              <w:jc w:val="right"/>
              <w:rPr>
                <w:rFonts w:eastAsia="仿宋"/>
                <w:color w:val="auto"/>
                <w:szCs w:val="21"/>
                <w:highlight w:val="none"/>
              </w:rPr>
            </w:pPr>
            <w:r>
              <w:rPr>
                <w:rFonts w:eastAsia="仿宋"/>
                <w:color w:val="auto"/>
                <w:spacing w:val="-7"/>
                <w:szCs w:val="21"/>
                <w:highlight w:val="none"/>
              </w:rPr>
              <w:t>年</w:t>
            </w:r>
            <w:r>
              <w:rPr>
                <w:rFonts w:eastAsia="仿宋"/>
                <w:color w:val="auto"/>
                <w:spacing w:val="3"/>
                <w:szCs w:val="21"/>
                <w:highlight w:val="none"/>
              </w:rPr>
              <w:t xml:space="preserve">    </w:t>
            </w:r>
            <w:r>
              <w:rPr>
                <w:rFonts w:eastAsia="仿宋"/>
                <w:color w:val="auto"/>
                <w:spacing w:val="-7"/>
                <w:szCs w:val="21"/>
                <w:highlight w:val="none"/>
              </w:rPr>
              <w:t>月</w:t>
            </w:r>
            <w:r>
              <w:rPr>
                <w:rFonts w:eastAsia="仿宋"/>
                <w:color w:val="auto"/>
                <w:spacing w:val="9"/>
                <w:szCs w:val="21"/>
                <w:highlight w:val="none"/>
              </w:rPr>
              <w:t xml:space="preserve">    </w:t>
            </w:r>
            <w:r>
              <w:rPr>
                <w:rFonts w:eastAsia="仿宋"/>
                <w:color w:val="auto"/>
                <w:spacing w:val="-7"/>
                <w:szCs w:val="21"/>
                <w:highlight w:val="none"/>
              </w:rPr>
              <w:t>日</w:t>
            </w:r>
          </w:p>
        </w:tc>
      </w:tr>
    </w:tbl>
    <w:p>
      <w:pPr>
        <w:keepNext/>
        <w:keepLines/>
        <w:adjustRightInd w:val="0"/>
        <w:snapToGrid w:val="0"/>
        <w:rPr>
          <w:color w:val="auto"/>
          <w:highlight w:val="none"/>
        </w:rPr>
        <w:sectPr>
          <w:pgSz w:w="11906" w:h="16838"/>
          <w:pgMar w:top="1610" w:right="1349" w:bottom="1213" w:left="1293" w:header="851" w:footer="992" w:gutter="0"/>
          <w:cols w:space="720" w:num="1"/>
          <w:docGrid w:type="linesAndChars" w:linePitch="333" w:charSpace="2165"/>
        </w:sectPr>
      </w:pPr>
    </w:p>
    <w:bookmarkEnd w:id="1667"/>
    <w:p>
      <w:pPr>
        <w:pStyle w:val="2"/>
        <w:rPr>
          <w:rFonts w:hint="eastAsia"/>
          <w:b/>
          <w:bCs w:val="0"/>
          <w:color w:val="auto"/>
          <w:highlight w:val="none"/>
        </w:rPr>
      </w:pPr>
      <w:bookmarkStart w:id="1701" w:name="_Toc13162"/>
      <w:bookmarkStart w:id="1702" w:name="_Toc3492"/>
      <w:bookmarkStart w:id="1703" w:name="_Toc2012"/>
      <w:bookmarkStart w:id="1704" w:name="_Toc7325"/>
      <w:bookmarkStart w:id="1705" w:name="_Toc23022"/>
      <w:bookmarkStart w:id="1706" w:name="_Toc31029"/>
      <w:bookmarkStart w:id="1707" w:name="_Toc9786"/>
      <w:bookmarkStart w:id="1708" w:name="_Toc7885"/>
      <w:bookmarkStart w:id="1709" w:name="_Toc17199"/>
      <w:bookmarkStart w:id="1710" w:name="_Toc17359"/>
      <w:bookmarkStart w:id="1711" w:name="_Toc2987"/>
      <w:bookmarkStart w:id="1712" w:name="_Toc7799"/>
      <w:bookmarkStart w:id="1713" w:name="_Toc25751"/>
      <w:bookmarkStart w:id="1714" w:name="_Toc2227"/>
      <w:bookmarkStart w:id="1715" w:name="_Toc22850"/>
      <w:bookmarkStart w:id="1716" w:name="_Toc18902"/>
      <w:r>
        <w:rPr>
          <w:rFonts w:hint="eastAsia"/>
          <w:b/>
          <w:bCs w:val="0"/>
          <w:color w:val="auto"/>
          <w:highlight w:val="none"/>
        </w:rPr>
        <w:t>附录B  模块单元吊装测试</w:t>
      </w:r>
      <w:bookmarkEnd w:id="1701"/>
      <w:bookmarkEnd w:id="1702"/>
      <w:bookmarkEnd w:id="1703"/>
      <w:bookmarkEnd w:id="1704"/>
      <w:bookmarkEnd w:id="1705"/>
      <w:bookmarkEnd w:id="1706"/>
      <w:bookmarkEnd w:id="1707"/>
      <w:bookmarkEnd w:id="1708"/>
      <w:bookmarkEnd w:id="1709"/>
      <w:bookmarkEnd w:id="1710"/>
      <w:bookmarkEnd w:id="1711"/>
      <w:bookmarkEnd w:id="1712"/>
    </w:p>
    <w:p>
      <w:pPr>
        <w:numPr>
          <w:ilvl w:val="0"/>
          <w:numId w:val="42"/>
        </w:numPr>
        <w:rPr>
          <w:color w:val="auto"/>
          <w:highlight w:val="none"/>
        </w:rPr>
      </w:pPr>
      <w:r>
        <w:rPr>
          <w:rFonts w:hint="eastAsia"/>
          <w:color w:val="auto"/>
          <w:highlight w:val="none"/>
        </w:rPr>
        <w:t>模块单元吊装测试用的吊架、吊环、吊钩和手拉葫芦等吊具及设备的规格、尺寸应与现场吊装方案保持一致。起重机械设备应满足吊装作业要求。</w:t>
      </w:r>
    </w:p>
    <w:p>
      <w:pPr>
        <w:numPr>
          <w:ilvl w:val="0"/>
          <w:numId w:val="42"/>
        </w:numPr>
        <w:rPr>
          <w:bCs/>
          <w:color w:val="auto"/>
          <w:highlight w:val="none"/>
        </w:rPr>
      </w:pPr>
      <w:r>
        <w:rPr>
          <w:rFonts w:hint="eastAsia"/>
          <w:bCs/>
          <w:color w:val="auto"/>
          <w:highlight w:val="none"/>
        </w:rPr>
        <w:t>模块单元吊装测试的场地、道路等条件应满足吊装作业要求。</w:t>
      </w:r>
    </w:p>
    <w:p>
      <w:pPr>
        <w:numPr>
          <w:ilvl w:val="0"/>
          <w:numId w:val="42"/>
        </w:numPr>
        <w:rPr>
          <w:bCs/>
          <w:color w:val="auto"/>
          <w:highlight w:val="none"/>
        </w:rPr>
      </w:pPr>
      <w:r>
        <w:rPr>
          <w:rFonts w:hint="eastAsia"/>
          <w:bCs/>
          <w:color w:val="auto"/>
          <w:highlight w:val="none"/>
        </w:rPr>
        <w:t>模块单元吊装测试前，其混凝土强度应符合设计规定，并应将其上的模板、灰浆残渣、垃圾碎块等全部清除干净。</w:t>
      </w:r>
    </w:p>
    <w:p>
      <w:pPr>
        <w:numPr>
          <w:ilvl w:val="0"/>
          <w:numId w:val="42"/>
        </w:numPr>
        <w:rPr>
          <w:bCs/>
          <w:color w:val="auto"/>
          <w:highlight w:val="none"/>
        </w:rPr>
      </w:pPr>
      <w:r>
        <w:rPr>
          <w:rFonts w:hint="eastAsia"/>
          <w:bCs/>
          <w:color w:val="auto"/>
          <w:highlight w:val="none"/>
        </w:rPr>
        <w:t>模块单元的吊装测试应符合下列规定：</w:t>
      </w:r>
    </w:p>
    <w:p>
      <w:pPr>
        <w:ind w:firstLine="440" w:firstLineChars="200"/>
        <w:rPr>
          <w:color w:val="auto"/>
          <w:highlight w:val="none"/>
        </w:rPr>
      </w:pPr>
      <w:r>
        <w:rPr>
          <w:b/>
          <w:color w:val="auto"/>
          <w:highlight w:val="none"/>
        </w:rPr>
        <w:t>1</w:t>
      </w:r>
      <w:r>
        <w:rPr>
          <w:color w:val="auto"/>
          <w:highlight w:val="none"/>
        </w:rPr>
        <w:t xml:space="preserve">  </w:t>
      </w:r>
      <w:r>
        <w:rPr>
          <w:rFonts w:hint="eastAsia"/>
          <w:color w:val="auto"/>
          <w:highlight w:val="none"/>
        </w:rPr>
        <w:t>模块单元上的吊点布置、吊环设计应符合本导则的有关规定；</w:t>
      </w:r>
    </w:p>
    <w:p>
      <w:pPr>
        <w:ind w:firstLine="440" w:firstLineChars="200"/>
        <w:rPr>
          <w:color w:val="auto"/>
          <w:highlight w:val="none"/>
        </w:rPr>
      </w:pPr>
      <w:r>
        <w:rPr>
          <w:b/>
          <w:color w:val="auto"/>
          <w:highlight w:val="none"/>
        </w:rPr>
        <w:t>2</w:t>
      </w:r>
      <w:r>
        <w:rPr>
          <w:color w:val="auto"/>
          <w:highlight w:val="none"/>
        </w:rPr>
        <w:t xml:space="preserve">  </w:t>
      </w:r>
      <w:r>
        <w:rPr>
          <w:rFonts w:hint="eastAsia"/>
          <w:color w:val="auto"/>
          <w:highlight w:val="none"/>
        </w:rPr>
        <w:t>用手拉葫芦或长短吊链连接模块单元与吊架时，吊环与吊架预留孔位应逐一对应；</w:t>
      </w:r>
    </w:p>
    <w:p>
      <w:pPr>
        <w:ind w:firstLine="440" w:firstLineChars="200"/>
        <w:rPr>
          <w:color w:val="auto"/>
          <w:highlight w:val="none"/>
        </w:rPr>
      </w:pPr>
      <w:r>
        <w:rPr>
          <w:b/>
          <w:color w:val="auto"/>
          <w:highlight w:val="none"/>
        </w:rPr>
        <w:t>3</w:t>
      </w:r>
      <w:r>
        <w:rPr>
          <w:color w:val="auto"/>
          <w:highlight w:val="none"/>
        </w:rPr>
        <w:t xml:space="preserve">  </w:t>
      </w:r>
      <w:r>
        <w:rPr>
          <w:rFonts w:hint="eastAsia"/>
          <w:color w:val="auto"/>
          <w:highlight w:val="none"/>
        </w:rPr>
        <w:t>起吊前应调整吊链，使模块单元与吊架保持水平，吊架下方与模块单元吊点相连的吊链与竖直方向的夹角不宜大于10度，不应大于15度；</w:t>
      </w:r>
    </w:p>
    <w:p>
      <w:pPr>
        <w:ind w:firstLine="440" w:firstLineChars="200"/>
        <w:rPr>
          <w:color w:val="auto"/>
          <w:highlight w:val="none"/>
        </w:rPr>
      </w:pPr>
      <w:r>
        <w:rPr>
          <w:b/>
          <w:color w:val="auto"/>
          <w:highlight w:val="none"/>
        </w:rPr>
        <w:t>4</w:t>
      </w:r>
      <w:r>
        <w:rPr>
          <w:color w:val="auto"/>
          <w:highlight w:val="none"/>
        </w:rPr>
        <w:t xml:space="preserve">  </w:t>
      </w:r>
      <w:r>
        <w:rPr>
          <w:rFonts w:hint="eastAsia"/>
          <w:color w:val="auto"/>
          <w:highlight w:val="none"/>
        </w:rPr>
        <w:t>模块单元吊装测试中应采用慢起、稳升、缓放的操作方式，吊运过程，应保持稳定，不得偏斜、摇摆和扭转；</w:t>
      </w:r>
    </w:p>
    <w:p>
      <w:pPr>
        <w:ind w:firstLine="440" w:firstLineChars="200"/>
        <w:rPr>
          <w:color w:val="auto"/>
          <w:highlight w:val="none"/>
        </w:rPr>
      </w:pPr>
      <w:r>
        <w:rPr>
          <w:b/>
          <w:color w:val="auto"/>
          <w:highlight w:val="none"/>
        </w:rPr>
        <w:t>5</w:t>
      </w:r>
      <w:r>
        <w:rPr>
          <w:color w:val="auto"/>
          <w:highlight w:val="none"/>
        </w:rPr>
        <w:t xml:space="preserve">  </w:t>
      </w:r>
      <w:r>
        <w:rPr>
          <w:rFonts w:hint="eastAsia"/>
          <w:color w:val="auto"/>
          <w:highlight w:val="none"/>
        </w:rPr>
        <w:t>初次吊装时，应将模块单元提升至距离地面</w:t>
      </w:r>
      <w:r>
        <w:rPr>
          <w:color w:val="auto"/>
          <w:highlight w:val="none"/>
        </w:rPr>
        <w:t>100mm~200mm</w:t>
      </w:r>
      <w:r>
        <w:rPr>
          <w:rFonts w:hint="eastAsia"/>
          <w:color w:val="auto"/>
          <w:highlight w:val="none"/>
        </w:rPr>
        <w:t>范围内，悬停</w:t>
      </w:r>
      <w:r>
        <w:rPr>
          <w:color w:val="auto"/>
          <w:highlight w:val="none"/>
        </w:rPr>
        <w:t>5~10</w:t>
      </w:r>
      <w:r>
        <w:rPr>
          <w:rFonts w:hint="eastAsia"/>
          <w:color w:val="auto"/>
          <w:highlight w:val="none"/>
        </w:rPr>
        <w:t>分钟，检查各部件的运行、角度及受力情况；</w:t>
      </w:r>
    </w:p>
    <w:p>
      <w:pPr>
        <w:ind w:firstLine="440" w:firstLineChars="200"/>
        <w:rPr>
          <w:color w:val="auto"/>
          <w:highlight w:val="none"/>
        </w:rPr>
      </w:pPr>
      <w:r>
        <w:rPr>
          <w:b/>
          <w:color w:val="auto"/>
          <w:highlight w:val="none"/>
        </w:rPr>
        <w:t>6</w:t>
      </w:r>
      <w:r>
        <w:rPr>
          <w:color w:val="auto"/>
          <w:highlight w:val="none"/>
        </w:rPr>
        <w:t xml:space="preserve">  </w:t>
      </w:r>
      <w:r>
        <w:rPr>
          <w:rFonts w:hint="eastAsia"/>
          <w:color w:val="auto"/>
          <w:highlight w:val="none"/>
        </w:rPr>
        <w:t>模块单元起吊后应进行前、后、上、下、左、右六个方向的运动情况测试，起吊速度不宜低于</w:t>
      </w:r>
      <w:r>
        <w:rPr>
          <w:color w:val="auto"/>
          <w:highlight w:val="none"/>
        </w:rPr>
        <w:t>30m/min</w:t>
      </w:r>
      <w:r>
        <w:rPr>
          <w:rFonts w:hint="eastAsia"/>
          <w:color w:val="auto"/>
          <w:highlight w:val="none"/>
        </w:rPr>
        <w:t>；</w:t>
      </w:r>
    </w:p>
    <w:p>
      <w:pPr>
        <w:ind w:firstLine="440" w:firstLineChars="200"/>
        <w:rPr>
          <w:color w:val="auto"/>
          <w:highlight w:val="none"/>
        </w:rPr>
      </w:pPr>
      <w:r>
        <w:rPr>
          <w:b/>
          <w:color w:val="auto"/>
          <w:highlight w:val="none"/>
        </w:rPr>
        <w:t>7</w:t>
      </w:r>
      <w:r>
        <w:rPr>
          <w:color w:val="auto"/>
          <w:highlight w:val="none"/>
        </w:rPr>
        <w:t xml:space="preserve">  </w:t>
      </w:r>
      <w:r>
        <w:rPr>
          <w:rFonts w:hint="eastAsia"/>
          <w:color w:val="auto"/>
          <w:highlight w:val="none"/>
        </w:rPr>
        <w:t>同一模块单元应至少重复进行</w:t>
      </w:r>
      <w:r>
        <w:rPr>
          <w:color w:val="auto"/>
          <w:highlight w:val="none"/>
        </w:rPr>
        <w:t>3</w:t>
      </w:r>
      <w:r>
        <w:rPr>
          <w:rFonts w:hint="eastAsia"/>
          <w:color w:val="auto"/>
          <w:highlight w:val="none"/>
        </w:rPr>
        <w:t>次吊装测试。</w:t>
      </w:r>
    </w:p>
    <w:p>
      <w:pPr>
        <w:numPr>
          <w:ilvl w:val="0"/>
          <w:numId w:val="42"/>
        </w:numPr>
        <w:rPr>
          <w:bCs/>
          <w:color w:val="auto"/>
          <w:highlight w:val="none"/>
        </w:rPr>
        <w:sectPr>
          <w:pgSz w:w="11906" w:h="16838"/>
          <w:pgMar w:top="1610" w:right="1349" w:bottom="1213" w:left="1293" w:header="851" w:footer="992" w:gutter="0"/>
          <w:cols w:space="720" w:num="1"/>
          <w:docGrid w:type="linesAndChars" w:linePitch="333" w:charSpace="2165"/>
        </w:sectPr>
      </w:pPr>
      <w:r>
        <w:rPr>
          <w:rFonts w:hint="eastAsia"/>
          <w:bCs/>
          <w:color w:val="auto"/>
          <w:highlight w:val="none"/>
        </w:rPr>
        <w:t>模块单元在吊装测试中若出现明显的模块变形和混凝土损伤应重新进行模块单元吊装方案设计或采取临时加固措施。</w:t>
      </w:r>
    </w:p>
    <w:p>
      <w:pPr>
        <w:pStyle w:val="2"/>
        <w:rPr>
          <w:b/>
          <w:bCs w:val="0"/>
          <w:i w:val="0"/>
          <w:iCs w:val="0"/>
          <w:color w:val="auto"/>
          <w:highlight w:val="none"/>
        </w:rPr>
      </w:pPr>
      <w:bookmarkStart w:id="1717" w:name="_Toc22441"/>
      <w:bookmarkStart w:id="1718" w:name="_Toc12634"/>
      <w:bookmarkStart w:id="1719" w:name="_Toc5800"/>
      <w:bookmarkStart w:id="1720" w:name="_Toc15248"/>
      <w:bookmarkStart w:id="1721" w:name="_Toc25502"/>
      <w:bookmarkStart w:id="1722" w:name="_Toc24672"/>
      <w:bookmarkStart w:id="1723" w:name="_Toc3313"/>
      <w:bookmarkStart w:id="1724" w:name="_Toc28539"/>
      <w:bookmarkStart w:id="1725" w:name="_Toc14218"/>
      <w:bookmarkStart w:id="1726" w:name="_Toc5412"/>
      <w:bookmarkStart w:id="1727" w:name="_Toc12860"/>
      <w:bookmarkStart w:id="1728" w:name="_Toc16155"/>
      <w:r>
        <w:rPr>
          <w:b/>
          <w:bCs w:val="0"/>
          <w:i w:val="0"/>
          <w:iCs w:val="0"/>
          <w:color w:val="auto"/>
          <w:highlight w:val="none"/>
        </w:rPr>
        <w:t>本导则用词说明</w:t>
      </w:r>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p>
    <w:p>
      <w:pPr>
        <w:jc w:val="left"/>
        <w:rPr>
          <w:bCs/>
          <w:color w:val="auto"/>
          <w:szCs w:val="21"/>
          <w:highlight w:val="none"/>
        </w:rPr>
      </w:pPr>
      <w:r>
        <w:rPr>
          <w:rFonts w:hint="eastAsia"/>
          <w:b/>
          <w:color w:val="auto"/>
          <w:szCs w:val="21"/>
          <w:highlight w:val="none"/>
        </w:rPr>
        <w:t>1</w:t>
      </w:r>
      <w:r>
        <w:rPr>
          <w:rFonts w:hint="eastAsia"/>
          <w:bCs/>
          <w:color w:val="auto"/>
          <w:szCs w:val="21"/>
          <w:highlight w:val="none"/>
        </w:rPr>
        <w:t xml:space="preserve"> </w:t>
      </w:r>
      <w:r>
        <w:rPr>
          <w:bCs/>
          <w:color w:val="auto"/>
          <w:szCs w:val="21"/>
          <w:highlight w:val="none"/>
        </w:rPr>
        <w:t xml:space="preserve"> </w:t>
      </w:r>
      <w:r>
        <w:rPr>
          <w:rFonts w:hint="eastAsia"/>
          <w:bCs/>
          <w:color w:val="auto"/>
          <w:szCs w:val="21"/>
          <w:highlight w:val="none"/>
        </w:rPr>
        <w:t>为了便于在执行本导则条文时区别对待，对要求严格程度不同的用词说明如下：</w:t>
      </w:r>
    </w:p>
    <w:p>
      <w:pPr>
        <w:ind w:firstLine="440" w:firstLineChars="200"/>
        <w:jc w:val="left"/>
        <w:rPr>
          <w:rFonts w:cs="宋体"/>
          <w:bCs/>
          <w:color w:val="auto"/>
          <w:szCs w:val="21"/>
          <w:highlight w:val="none"/>
        </w:rPr>
      </w:pPr>
      <w:bookmarkStart w:id="1729" w:name="_Toc28473"/>
      <w:bookmarkStart w:id="1730" w:name="_Toc1146"/>
      <w:r>
        <w:rPr>
          <w:rFonts w:hint="eastAsia" w:cs="宋体"/>
          <w:b/>
          <w:color w:val="auto"/>
          <w:szCs w:val="21"/>
          <w:highlight w:val="none"/>
        </w:rPr>
        <w:t>1</w:t>
      </w:r>
      <w:r>
        <w:rPr>
          <w:rFonts w:hint="eastAsia" w:cs="宋体"/>
          <w:bCs/>
          <w:color w:val="auto"/>
          <w:szCs w:val="21"/>
          <w:highlight w:val="none"/>
        </w:rPr>
        <w:t>）表示很严格，非这样做不可的用词：</w:t>
      </w:r>
      <w:bookmarkEnd w:id="1729"/>
      <w:bookmarkEnd w:id="1730"/>
    </w:p>
    <w:p>
      <w:pPr>
        <w:ind w:firstLine="440" w:firstLineChars="200"/>
        <w:jc w:val="left"/>
        <w:rPr>
          <w:rFonts w:cs="宋体"/>
          <w:color w:val="auto"/>
          <w:szCs w:val="21"/>
          <w:highlight w:val="none"/>
        </w:rPr>
      </w:pPr>
      <w:r>
        <w:rPr>
          <w:rFonts w:hint="eastAsia" w:cs="宋体"/>
          <w:color w:val="auto"/>
          <w:szCs w:val="21"/>
          <w:highlight w:val="none"/>
        </w:rPr>
        <w:t>正面词采用“必须”，反面词采用“严禁”；</w:t>
      </w:r>
    </w:p>
    <w:p>
      <w:pPr>
        <w:ind w:firstLine="440" w:firstLineChars="200"/>
        <w:jc w:val="left"/>
        <w:rPr>
          <w:rFonts w:eastAsia="黑体" w:cs="黑体"/>
          <w:color w:val="auto"/>
          <w:szCs w:val="21"/>
          <w:highlight w:val="none"/>
        </w:rPr>
      </w:pPr>
      <w:bookmarkStart w:id="1731" w:name="_Toc15061"/>
      <w:bookmarkStart w:id="1732" w:name="_Toc16300"/>
      <w:r>
        <w:rPr>
          <w:rFonts w:hint="eastAsia" w:eastAsia="黑体"/>
          <w:b/>
          <w:bCs/>
          <w:color w:val="auto"/>
          <w:szCs w:val="21"/>
          <w:highlight w:val="none"/>
        </w:rPr>
        <w:t>2</w:t>
      </w:r>
      <w:r>
        <w:rPr>
          <w:rFonts w:hint="eastAsia" w:eastAsia="黑体"/>
          <w:bCs/>
          <w:color w:val="auto"/>
          <w:szCs w:val="21"/>
          <w:highlight w:val="none"/>
        </w:rPr>
        <w:t>）</w:t>
      </w:r>
      <w:r>
        <w:rPr>
          <w:rFonts w:hint="eastAsia" w:cs="宋体"/>
          <w:color w:val="auto"/>
          <w:szCs w:val="21"/>
          <w:highlight w:val="none"/>
        </w:rPr>
        <w:t>表示严格，在正常情况下均应这样做的用词：</w:t>
      </w:r>
      <w:bookmarkEnd w:id="1731"/>
      <w:bookmarkEnd w:id="1732"/>
    </w:p>
    <w:p>
      <w:pPr>
        <w:ind w:firstLine="440" w:firstLineChars="200"/>
        <w:jc w:val="left"/>
        <w:rPr>
          <w:rFonts w:cs="宋体"/>
          <w:color w:val="auto"/>
          <w:szCs w:val="21"/>
          <w:highlight w:val="none"/>
        </w:rPr>
      </w:pPr>
      <w:r>
        <w:rPr>
          <w:rFonts w:hint="eastAsia" w:cs="宋体"/>
          <w:color w:val="auto"/>
          <w:szCs w:val="21"/>
          <w:highlight w:val="none"/>
        </w:rPr>
        <w:t>正面词采用“应”，反面词采用“不应”或“不得”；</w:t>
      </w:r>
    </w:p>
    <w:p>
      <w:pPr>
        <w:ind w:firstLine="440" w:firstLineChars="200"/>
        <w:jc w:val="left"/>
        <w:rPr>
          <w:rFonts w:eastAsia="黑体" w:cs="黑体"/>
          <w:color w:val="auto"/>
          <w:szCs w:val="21"/>
          <w:highlight w:val="none"/>
        </w:rPr>
      </w:pPr>
      <w:bookmarkStart w:id="1733" w:name="_Toc3623"/>
      <w:bookmarkStart w:id="1734" w:name="_Toc27335"/>
      <w:r>
        <w:rPr>
          <w:rFonts w:hint="eastAsia" w:eastAsia="黑体"/>
          <w:b/>
          <w:bCs/>
          <w:color w:val="auto"/>
          <w:szCs w:val="21"/>
          <w:highlight w:val="none"/>
        </w:rPr>
        <w:t>3</w:t>
      </w:r>
      <w:r>
        <w:rPr>
          <w:rFonts w:hint="eastAsia" w:eastAsia="黑体"/>
          <w:bCs/>
          <w:color w:val="auto"/>
          <w:szCs w:val="21"/>
          <w:highlight w:val="none"/>
        </w:rPr>
        <w:t>）</w:t>
      </w:r>
      <w:r>
        <w:rPr>
          <w:rFonts w:hint="eastAsia" w:cs="宋体"/>
          <w:color w:val="auto"/>
          <w:szCs w:val="21"/>
          <w:highlight w:val="none"/>
        </w:rPr>
        <w:t>表示允许稍有选择，在条件许可时首先应这样做的用词：</w:t>
      </w:r>
      <w:bookmarkEnd w:id="1733"/>
      <w:bookmarkEnd w:id="1734"/>
    </w:p>
    <w:p>
      <w:pPr>
        <w:ind w:firstLine="440" w:firstLineChars="200"/>
        <w:jc w:val="left"/>
        <w:rPr>
          <w:rFonts w:cs="宋体"/>
          <w:color w:val="auto"/>
          <w:szCs w:val="21"/>
          <w:highlight w:val="none"/>
        </w:rPr>
      </w:pPr>
      <w:r>
        <w:rPr>
          <w:rFonts w:hint="eastAsia" w:cs="宋体"/>
          <w:color w:val="auto"/>
          <w:szCs w:val="21"/>
          <w:highlight w:val="none"/>
        </w:rPr>
        <w:t>正面词采用“宜”，反面词采用“不宜”；</w:t>
      </w:r>
    </w:p>
    <w:p>
      <w:pPr>
        <w:ind w:firstLine="440" w:firstLineChars="200"/>
        <w:jc w:val="left"/>
        <w:rPr>
          <w:rFonts w:cs="宋体"/>
          <w:color w:val="auto"/>
          <w:szCs w:val="21"/>
          <w:highlight w:val="none"/>
        </w:rPr>
      </w:pPr>
      <w:bookmarkStart w:id="1735" w:name="_Toc13654"/>
      <w:bookmarkStart w:id="1736" w:name="_Toc30577"/>
      <w:r>
        <w:rPr>
          <w:rFonts w:hint="eastAsia" w:eastAsia="黑体"/>
          <w:b/>
          <w:bCs/>
          <w:color w:val="auto"/>
          <w:szCs w:val="21"/>
          <w:highlight w:val="none"/>
        </w:rPr>
        <w:t>4</w:t>
      </w:r>
      <w:r>
        <w:rPr>
          <w:rFonts w:hint="eastAsia" w:eastAsia="黑体"/>
          <w:bCs/>
          <w:color w:val="auto"/>
          <w:szCs w:val="21"/>
          <w:highlight w:val="none"/>
        </w:rPr>
        <w:t>）</w:t>
      </w:r>
      <w:r>
        <w:rPr>
          <w:rFonts w:hint="eastAsia" w:cs="宋体"/>
          <w:color w:val="auto"/>
          <w:szCs w:val="21"/>
          <w:highlight w:val="none"/>
        </w:rPr>
        <w:t>表示有选择，在一定条件下可以这样做的用词，采用“可”。</w:t>
      </w:r>
      <w:bookmarkEnd w:id="1735"/>
      <w:bookmarkEnd w:id="1736"/>
    </w:p>
    <w:p>
      <w:pPr>
        <w:jc w:val="left"/>
        <w:rPr>
          <w:rFonts w:cs="宋体"/>
          <w:color w:val="auto"/>
          <w:szCs w:val="21"/>
          <w:highlight w:val="none"/>
        </w:rPr>
        <w:sectPr>
          <w:pgSz w:w="11906" w:h="16838"/>
          <w:pgMar w:top="1610" w:right="1349" w:bottom="1213" w:left="1293" w:header="851" w:footer="992" w:gutter="0"/>
          <w:cols w:space="720" w:num="1"/>
          <w:docGrid w:type="linesAndChars" w:linePitch="333" w:charSpace="2165"/>
        </w:sectPr>
      </w:pPr>
      <w:r>
        <w:rPr>
          <w:rFonts w:hint="eastAsia" w:eastAsia="黑体"/>
          <w:b/>
          <w:bCs/>
          <w:color w:val="auto"/>
          <w:szCs w:val="21"/>
          <w:highlight w:val="none"/>
        </w:rPr>
        <w:t>2</w:t>
      </w:r>
      <w:r>
        <w:rPr>
          <w:rFonts w:hint="eastAsia" w:cs="宋体"/>
          <w:color w:val="auto"/>
          <w:szCs w:val="21"/>
          <w:highlight w:val="none"/>
        </w:rPr>
        <w:t xml:space="preserve"> </w:t>
      </w:r>
      <w:r>
        <w:rPr>
          <w:rFonts w:cs="宋体"/>
          <w:color w:val="auto"/>
          <w:szCs w:val="21"/>
          <w:highlight w:val="none"/>
        </w:rPr>
        <w:t xml:space="preserve"> </w:t>
      </w:r>
      <w:r>
        <w:rPr>
          <w:rFonts w:hint="eastAsia" w:cs="宋体"/>
          <w:color w:val="auto"/>
          <w:szCs w:val="21"/>
          <w:highlight w:val="none"/>
        </w:rPr>
        <w:t>条文中指明应按其他有关的标准执行的写法为“应符合……的规定”或“应按……执行”。</w:t>
      </w:r>
    </w:p>
    <w:p>
      <w:pPr>
        <w:pStyle w:val="2"/>
        <w:rPr>
          <w:b/>
          <w:bCs w:val="0"/>
          <w:color w:val="auto"/>
          <w:szCs w:val="21"/>
          <w:highlight w:val="none"/>
        </w:rPr>
      </w:pPr>
      <w:bookmarkStart w:id="1737" w:name="_Toc4563"/>
      <w:bookmarkStart w:id="1738" w:name="_Toc19388"/>
      <w:bookmarkStart w:id="1739" w:name="_Toc595"/>
      <w:bookmarkStart w:id="1740" w:name="_Toc2703"/>
      <w:bookmarkStart w:id="1741" w:name="_Toc11825"/>
      <w:bookmarkStart w:id="1742" w:name="_Toc3125"/>
      <w:bookmarkStart w:id="1743" w:name="_Toc21091"/>
      <w:bookmarkStart w:id="1744" w:name="_Toc110952749"/>
      <w:bookmarkStart w:id="1745" w:name="_Toc11066"/>
      <w:bookmarkStart w:id="1746" w:name="_Toc31437"/>
      <w:bookmarkStart w:id="1747" w:name="_Toc4594"/>
      <w:bookmarkStart w:id="1748" w:name="_Toc5321"/>
      <w:bookmarkStart w:id="1749" w:name="_Toc26662"/>
      <w:bookmarkStart w:id="1750" w:name="_Toc93999738"/>
      <w:bookmarkStart w:id="1751" w:name="_Toc16207"/>
      <w:bookmarkStart w:id="1752" w:name="_Toc24364"/>
      <w:bookmarkStart w:id="1753" w:name="_Toc16582"/>
      <w:bookmarkStart w:id="1754" w:name="_Toc20241"/>
      <w:bookmarkStart w:id="1755" w:name="_Toc110958517"/>
      <w:bookmarkStart w:id="1756" w:name="_Toc25868"/>
      <w:bookmarkStart w:id="1757" w:name="_Toc19672"/>
      <w:bookmarkStart w:id="1758" w:name="_Toc25092"/>
      <w:bookmarkStart w:id="1759" w:name="_Toc3653"/>
      <w:bookmarkStart w:id="1760" w:name="_Toc3699"/>
      <w:bookmarkStart w:id="1761" w:name="_Toc82523982"/>
      <w:bookmarkStart w:id="1762" w:name="_Toc27402"/>
      <w:bookmarkStart w:id="1763" w:name="_Toc3811"/>
      <w:bookmarkStart w:id="1764" w:name="_Toc93998977"/>
      <w:bookmarkStart w:id="1765" w:name="_Toc4925"/>
      <w:bookmarkStart w:id="1766" w:name="_Toc26311"/>
      <w:bookmarkStart w:id="1767" w:name="_Toc8361"/>
      <w:bookmarkStart w:id="1768" w:name="_Toc4684"/>
      <w:bookmarkStart w:id="1769" w:name="_Toc19736"/>
      <w:bookmarkStart w:id="1770" w:name="_Toc3141"/>
      <w:bookmarkStart w:id="1771" w:name="_Toc5806"/>
      <w:bookmarkStart w:id="1772" w:name="_Toc30810"/>
      <w:bookmarkStart w:id="1773" w:name="_Toc3730"/>
      <w:bookmarkStart w:id="1774" w:name="_Toc16580"/>
      <w:bookmarkStart w:id="1775" w:name="_Toc27488"/>
      <w:bookmarkStart w:id="1776" w:name="_Toc21685"/>
      <w:bookmarkStart w:id="1777" w:name="_Toc28229"/>
      <w:r>
        <w:rPr>
          <w:rFonts w:hint="eastAsia"/>
          <w:b/>
          <w:bCs w:val="0"/>
          <w:color w:val="auto"/>
          <w:highlight w:val="none"/>
        </w:rPr>
        <w:t>引用标准名录</w:t>
      </w:r>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p>
    <w:p>
      <w:pPr>
        <w:pStyle w:val="47"/>
        <w:numPr>
          <w:ilvl w:val="0"/>
          <w:numId w:val="43"/>
        </w:numPr>
        <w:ind w:left="210" w:leftChars="100" w:firstLineChars="0"/>
        <w:jc w:val="left"/>
        <w:rPr>
          <w:color w:val="auto"/>
          <w:szCs w:val="21"/>
          <w:highlight w:val="none"/>
        </w:rPr>
      </w:pPr>
      <w:r>
        <w:rPr>
          <w:rFonts w:hint="eastAsia"/>
          <w:color w:val="auto"/>
          <w:szCs w:val="21"/>
          <w:highlight w:val="none"/>
        </w:rPr>
        <w:t xml:space="preserve">《工程结构通用规范》GB </w:t>
      </w:r>
      <w:r>
        <w:rPr>
          <w:color w:val="auto"/>
          <w:szCs w:val="21"/>
          <w:highlight w:val="none"/>
        </w:rPr>
        <w:t>55001</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《建筑与市政工程抗震通用规范》GB 55002</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《建筑与市政地基基础通用规范》GB 55003</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《钢结构通用规范》GB 55006</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《混凝土结构通用规范》GB 55008</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《建筑节能与可再生能源利用通用规范》GB</w:t>
      </w:r>
      <w:r>
        <w:rPr>
          <w:color w:val="auto"/>
          <w:szCs w:val="21"/>
          <w:highlight w:val="none"/>
        </w:rPr>
        <w:t xml:space="preserve"> 55015</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《建筑环境通用规范》GB 55016</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《建筑给水排水与节水通用规范》GB 55020</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《建筑电气与智能化通用规范》GB 55024</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《建筑与市政工程防水通用规范》GB 55030</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《民用建筑通用规范》GB</w:t>
      </w:r>
      <w:r>
        <w:rPr>
          <w:color w:val="auto"/>
          <w:szCs w:val="21"/>
          <w:highlight w:val="none"/>
        </w:rPr>
        <w:t xml:space="preserve"> 55031</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《建筑与市政工程施工质量控制通用规范》GB 55032</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《建筑照明设计标准》GB 55034</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《消防设施通用规范》GB 55036</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《建筑防火通用规范》GB</w:t>
      </w:r>
      <w:r>
        <w:rPr>
          <w:color w:val="auto"/>
          <w:szCs w:val="21"/>
          <w:highlight w:val="none"/>
        </w:rPr>
        <w:t xml:space="preserve"> 55037</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《建筑模数协调标准》GB/T 50002</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《建筑地基基础设计规范》GB 50007</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《建筑结构荷载规范》GB 50009</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《混凝土结构设计标准》GB/T 50010</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《建筑给水排水设计标准》GB 50015</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《建筑设计防火规范》GB 50016</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《钢结构设计标准》GB 50017</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《工程测量标准》GB 50026</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《城镇燃气设计规范》GB 50028</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《供配电系统设计规范》GB 50052</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《低压配电设计规范》GB 50054</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《通用用电设备配电设计规范》GB 50055</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《建筑物防雷设计规范》GB 50057</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《交流电气装置的接地设计规范》GB/T 50065</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《混凝土强度检验评定标准》GB/T 50107</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《火灾自动报警系统施工及验收标准》GB 50166</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《民用建筑隔声设计规范》GB 50118</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《民用建筑热工设计规范》GB 5017</w:t>
      </w:r>
      <w:r>
        <w:rPr>
          <w:color w:val="auto"/>
          <w:szCs w:val="21"/>
          <w:highlight w:val="none"/>
        </w:rPr>
        <w:t>6</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《公共建筑节能设计标准》GB 50189</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《混凝土结构工程施工质量验收规范》GB 50204</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《钢结构工程施工质量验收标准》GB 50205</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《建筑装饰装修工程质量验收标准》GB 50210</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《建筑内部装修设计防火规范》GB 50222</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《建筑给水排水及采暖工程施工质量验收规范》GB 50242</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《通风与空调工程施工质量验收规范》GB 50243</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《建筑工程施工质量验收统一标准》GB 50300</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《建筑电气工程施工质量验收规范》GB 50303</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《民用建筑工程室内环境污染控制标准》GB 50325</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《智能建筑工程质量验收规范》GB 50339</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《民用建筑设计统一标准》GB 50352</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《建筑节能工程施工质量验收规程》GB 50411</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《智能建筑工程施工规范》GB 50606</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《钢结构焊接规范》GB 50661</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《混凝土结构工程施工规范》GB 50666</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《民用建筑供暖通风与空气调节设计规范》GB 50736</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《钢结构工程施工规范》GB 50755</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《建筑机电工程抗震设计规范》GB 50981</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《装配式混凝土建筑技术标准》GB/T</w:t>
      </w:r>
      <w:r>
        <w:rPr>
          <w:color w:val="auto"/>
          <w:szCs w:val="21"/>
          <w:highlight w:val="none"/>
        </w:rPr>
        <w:t xml:space="preserve"> 51231</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《民用建筑电气设计标准》GB 51348</w:t>
      </w:r>
    </w:p>
    <w:p>
      <w:pPr>
        <w:pStyle w:val="47"/>
        <w:numPr>
          <w:ilvl w:val="0"/>
          <w:numId w:val="43"/>
        </w:numPr>
        <w:ind w:left="210" w:leftChars="100" w:firstLineChars="0"/>
        <w:jc w:val="left"/>
        <w:rPr>
          <w:color w:val="auto"/>
          <w:szCs w:val="21"/>
          <w:highlight w:val="none"/>
        </w:rPr>
      </w:pPr>
      <w:r>
        <w:rPr>
          <w:rFonts w:hint="eastAsia"/>
          <w:bCs/>
          <w:color w:val="auto"/>
          <w:highlight w:val="none"/>
        </w:rPr>
        <w:t>《建筑防火封堵应用技术标准》GB/T 51410</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《装配式混凝土结构技术规程》JGJ 1</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《高层建筑混凝土结构技术规程》JGJ 3</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《钢筋焊接及验收规程》JGJ 18</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《钢筋机械连接技术规程》JGJ 107</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《建筑工程饰面砖粘结强度检验标准》JGJ</w:t>
      </w:r>
      <w:r>
        <w:rPr>
          <w:color w:val="auto"/>
          <w:szCs w:val="21"/>
          <w:highlight w:val="none"/>
        </w:rPr>
        <w:t>/T</w:t>
      </w:r>
      <w:r>
        <w:rPr>
          <w:rFonts w:hint="eastAsia"/>
          <w:color w:val="auto"/>
          <w:szCs w:val="21"/>
          <w:highlight w:val="none"/>
        </w:rPr>
        <w:t xml:space="preserve"> 110</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《外墙饰面砖工程施工及验收规程》JGJ 126</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《夏热冬冷地区居住建筑节能设计标准》</w:t>
      </w:r>
      <w:r>
        <w:rPr>
          <w:color w:val="auto"/>
          <w:szCs w:val="21"/>
          <w:highlight w:val="none"/>
        </w:rPr>
        <w:t>JGJ 134</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《辐射供暖供冷技术规程》JGJ</w:t>
      </w:r>
      <w:r>
        <w:rPr>
          <w:color w:val="auto"/>
          <w:szCs w:val="21"/>
          <w:highlight w:val="none"/>
        </w:rPr>
        <w:t xml:space="preserve"> 142</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《外墙外保温工程技术标准》JGJ 144</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《建筑轻质条板隔墙技术规程》JGJ/T</w:t>
      </w:r>
      <w:r>
        <w:rPr>
          <w:color w:val="auto"/>
          <w:szCs w:val="21"/>
          <w:highlight w:val="none"/>
        </w:rPr>
        <w:t xml:space="preserve"> 157</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《多联机空调系统工程技术规程》JGJ 174</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《外墙内保温工程技术标准》JGJ/T 261</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《自密实混凝土应用技术规程》</w:t>
      </w:r>
      <w:r>
        <w:rPr>
          <w:color w:val="auto"/>
          <w:szCs w:val="21"/>
          <w:highlight w:val="none"/>
        </w:rPr>
        <w:t>JGJ/T 283</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《住宅室内防水工程技术规范》JGJ 298</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《公共建筑吊顶工程技术规程》JGJ 345</w:t>
      </w:r>
    </w:p>
    <w:p>
      <w:pPr>
        <w:pStyle w:val="47"/>
        <w:numPr>
          <w:ilvl w:val="0"/>
          <w:numId w:val="43"/>
        </w:numPr>
        <w:ind w:left="210" w:leftChars="100" w:firstLineChars="0"/>
        <w:jc w:val="left"/>
        <w:rPr>
          <w:color w:val="auto"/>
          <w:szCs w:val="21"/>
          <w:highlight w:val="none"/>
        </w:rPr>
      </w:pPr>
      <w:r>
        <w:rPr>
          <w:rFonts w:hint="eastAsia"/>
          <w:color w:val="auto"/>
          <w:szCs w:val="21"/>
          <w:highlight w:val="none"/>
        </w:rPr>
        <w:t>《住宅室内装饰装修设计规范》JGJ 367</w:t>
      </w:r>
    </w:p>
    <w:p>
      <w:pPr>
        <w:pStyle w:val="47"/>
        <w:widowControl/>
        <w:numPr>
          <w:ilvl w:val="0"/>
          <w:numId w:val="43"/>
        </w:numPr>
        <w:ind w:left="210" w:leftChars="100" w:firstLine="0" w:firstLineChars="0"/>
        <w:jc w:val="left"/>
        <w:rPr>
          <w:color w:val="auto"/>
          <w:szCs w:val="21"/>
          <w:highlight w:val="none"/>
        </w:rPr>
      </w:pPr>
      <w:r>
        <w:rPr>
          <w:rFonts w:hint="eastAsia"/>
          <w:color w:val="auto"/>
          <w:szCs w:val="21"/>
          <w:highlight w:val="none"/>
        </w:rPr>
        <w:t>《建筑抗震设计标准》DG/TJ 08-9</w:t>
      </w:r>
    </w:p>
    <w:p>
      <w:pPr>
        <w:pStyle w:val="47"/>
        <w:widowControl/>
        <w:numPr>
          <w:ilvl w:val="0"/>
          <w:numId w:val="43"/>
        </w:numPr>
        <w:ind w:left="210" w:leftChars="100" w:firstLine="0" w:firstLineChars="0"/>
        <w:jc w:val="left"/>
        <w:rPr>
          <w:color w:val="auto"/>
          <w:szCs w:val="21"/>
          <w:highlight w:val="none"/>
        </w:rPr>
      </w:pPr>
      <w:r>
        <w:rPr>
          <w:rFonts w:hint="eastAsia"/>
          <w:color w:val="auto"/>
          <w:szCs w:val="21"/>
          <w:highlight w:val="none"/>
        </w:rPr>
        <w:t>《城镇天然气管道工程技术标准》DG/TJ 08-10</w:t>
      </w:r>
    </w:p>
    <w:p>
      <w:pPr>
        <w:pStyle w:val="47"/>
        <w:widowControl/>
        <w:numPr>
          <w:ilvl w:val="0"/>
          <w:numId w:val="43"/>
        </w:numPr>
        <w:ind w:left="210" w:leftChars="100" w:firstLine="0" w:firstLineChars="0"/>
        <w:jc w:val="left"/>
        <w:rPr>
          <w:color w:val="auto"/>
          <w:szCs w:val="21"/>
          <w:highlight w:val="none"/>
        </w:rPr>
      </w:pPr>
      <w:r>
        <w:rPr>
          <w:rFonts w:hint="eastAsia"/>
          <w:color w:val="auto"/>
          <w:szCs w:val="21"/>
          <w:highlight w:val="none"/>
        </w:rPr>
        <w:t>《地基基础设计标准》DGJ 08-11</w:t>
      </w:r>
    </w:p>
    <w:p>
      <w:pPr>
        <w:pStyle w:val="47"/>
        <w:widowControl/>
        <w:numPr>
          <w:ilvl w:val="0"/>
          <w:numId w:val="43"/>
        </w:numPr>
        <w:ind w:left="210" w:leftChars="100" w:firstLine="0" w:firstLineChars="0"/>
        <w:jc w:val="left"/>
        <w:rPr>
          <w:color w:val="auto"/>
          <w:szCs w:val="21"/>
          <w:highlight w:val="none"/>
        </w:rPr>
      </w:pPr>
      <w:r>
        <w:rPr>
          <w:rFonts w:hint="eastAsia"/>
          <w:color w:val="auto"/>
          <w:szCs w:val="21"/>
          <w:highlight w:val="none"/>
        </w:rPr>
        <w:t>《公共建筑节能设计标准》DGJ 08-107</w:t>
      </w:r>
    </w:p>
    <w:p>
      <w:pPr>
        <w:pStyle w:val="47"/>
        <w:widowControl/>
        <w:numPr>
          <w:ilvl w:val="0"/>
          <w:numId w:val="43"/>
        </w:numPr>
        <w:ind w:left="210" w:leftChars="100" w:firstLine="0" w:firstLineChars="0"/>
        <w:jc w:val="left"/>
        <w:rPr>
          <w:color w:val="auto"/>
          <w:szCs w:val="21"/>
          <w:highlight w:val="none"/>
        </w:rPr>
      </w:pPr>
      <w:r>
        <w:rPr>
          <w:rFonts w:hint="eastAsia"/>
          <w:color w:val="auto"/>
          <w:szCs w:val="21"/>
          <w:highlight w:val="none"/>
        </w:rPr>
        <w:t>《居住建筑节能设计标准》DG/TJ 08-205</w:t>
      </w:r>
    </w:p>
    <w:p>
      <w:pPr>
        <w:pStyle w:val="47"/>
        <w:widowControl/>
        <w:numPr>
          <w:ilvl w:val="0"/>
          <w:numId w:val="43"/>
        </w:numPr>
        <w:ind w:left="210" w:leftChars="100" w:firstLine="0" w:firstLineChars="0"/>
        <w:jc w:val="left"/>
        <w:rPr>
          <w:color w:val="auto"/>
          <w:szCs w:val="21"/>
          <w:highlight w:val="none"/>
        </w:rPr>
      </w:pPr>
      <w:r>
        <w:rPr>
          <w:rFonts w:hint="eastAsia"/>
          <w:color w:val="auto"/>
          <w:szCs w:val="21"/>
          <w:highlight w:val="none"/>
        </w:rPr>
        <w:t>《民用建筑电气防火设计标准》DG/TJ 08-2048</w:t>
      </w:r>
    </w:p>
    <w:p>
      <w:pPr>
        <w:pStyle w:val="47"/>
        <w:widowControl/>
        <w:numPr>
          <w:ilvl w:val="0"/>
          <w:numId w:val="43"/>
        </w:numPr>
        <w:ind w:left="210" w:leftChars="100" w:firstLine="0" w:firstLineChars="0"/>
        <w:jc w:val="left"/>
        <w:rPr>
          <w:color w:val="auto"/>
          <w:szCs w:val="21"/>
          <w:highlight w:val="none"/>
        </w:rPr>
      </w:pPr>
      <w:r>
        <w:rPr>
          <w:rFonts w:hint="eastAsia"/>
          <w:color w:val="auto"/>
          <w:szCs w:val="21"/>
          <w:highlight w:val="none"/>
        </w:rPr>
        <w:t>《装配整体式混凝土居住建筑设计规程》DG/TJ</w:t>
      </w:r>
      <w:r>
        <w:rPr>
          <w:color w:val="auto"/>
          <w:szCs w:val="21"/>
          <w:highlight w:val="none"/>
        </w:rPr>
        <w:t xml:space="preserve"> 08-2071</w:t>
      </w:r>
    </w:p>
    <w:p>
      <w:pPr>
        <w:pStyle w:val="47"/>
        <w:widowControl/>
        <w:numPr>
          <w:ilvl w:val="0"/>
          <w:numId w:val="43"/>
        </w:numPr>
        <w:ind w:left="210" w:leftChars="100" w:firstLine="0" w:firstLineChars="0"/>
        <w:jc w:val="left"/>
        <w:rPr>
          <w:color w:val="auto"/>
          <w:szCs w:val="21"/>
          <w:highlight w:val="none"/>
        </w:rPr>
      </w:pPr>
      <w:r>
        <w:rPr>
          <w:rFonts w:hint="eastAsia"/>
          <w:color w:val="auto"/>
          <w:szCs w:val="21"/>
          <w:highlight w:val="none"/>
        </w:rPr>
        <w:t>《装配整体式混凝土结构施工及质量验收规范》DGJ 08-2117</w:t>
      </w:r>
    </w:p>
    <w:p>
      <w:pPr>
        <w:pStyle w:val="47"/>
        <w:widowControl/>
        <w:numPr>
          <w:ilvl w:val="0"/>
          <w:numId w:val="43"/>
        </w:numPr>
        <w:ind w:left="210" w:leftChars="100" w:firstLine="0" w:firstLineChars="0"/>
        <w:jc w:val="left"/>
        <w:rPr>
          <w:color w:val="auto"/>
          <w:szCs w:val="21"/>
          <w:highlight w:val="none"/>
        </w:rPr>
      </w:pPr>
      <w:r>
        <w:rPr>
          <w:rFonts w:hint="eastAsia"/>
          <w:color w:val="auto"/>
          <w:szCs w:val="21"/>
          <w:highlight w:val="none"/>
        </w:rPr>
        <w:t>《住宅建筑绿色设计标准》DGJ 08-2139</w:t>
      </w:r>
    </w:p>
    <w:p>
      <w:pPr>
        <w:pStyle w:val="47"/>
        <w:widowControl/>
        <w:numPr>
          <w:ilvl w:val="0"/>
          <w:numId w:val="43"/>
        </w:numPr>
        <w:ind w:left="210" w:leftChars="100" w:firstLine="0" w:firstLineChars="0"/>
        <w:jc w:val="left"/>
        <w:rPr>
          <w:color w:val="auto"/>
          <w:szCs w:val="21"/>
          <w:highlight w:val="none"/>
        </w:rPr>
      </w:pPr>
      <w:r>
        <w:rPr>
          <w:rFonts w:hint="eastAsia"/>
          <w:color w:val="auto"/>
          <w:szCs w:val="21"/>
          <w:highlight w:val="none"/>
        </w:rPr>
        <w:t>《公共建筑绿色设计标准》DGJ 08-2143</w:t>
      </w:r>
    </w:p>
    <w:p>
      <w:pPr>
        <w:pStyle w:val="47"/>
        <w:widowControl/>
        <w:numPr>
          <w:ilvl w:val="0"/>
          <w:numId w:val="43"/>
        </w:numPr>
        <w:ind w:left="210" w:leftChars="100" w:firstLine="0" w:firstLineChars="0"/>
        <w:jc w:val="left"/>
        <w:rPr>
          <w:color w:val="auto"/>
          <w:szCs w:val="21"/>
          <w:highlight w:val="none"/>
        </w:rPr>
      </w:pPr>
      <w:r>
        <w:rPr>
          <w:rFonts w:hint="eastAsia"/>
          <w:color w:val="auto"/>
          <w:highlight w:val="none"/>
        </w:rPr>
        <w:t>《装配整体式混凝土公共建筑设计规程》DG/TJ 08-2154</w:t>
      </w:r>
    </w:p>
    <w:p>
      <w:pPr>
        <w:pStyle w:val="47"/>
        <w:widowControl/>
        <w:numPr>
          <w:ilvl w:val="0"/>
          <w:numId w:val="43"/>
        </w:numPr>
        <w:ind w:left="210" w:leftChars="100" w:firstLine="0" w:firstLineChars="0"/>
        <w:jc w:val="left"/>
        <w:rPr>
          <w:color w:val="auto"/>
          <w:szCs w:val="21"/>
          <w:highlight w:val="none"/>
        </w:rPr>
      </w:pPr>
      <w:r>
        <w:rPr>
          <w:rFonts w:hint="eastAsia"/>
          <w:color w:val="auto"/>
          <w:szCs w:val="21"/>
          <w:highlight w:val="none"/>
        </w:rPr>
        <w:t>《全装修住宅室内装修设计标准》DG/TJ 08-2178</w:t>
      </w:r>
    </w:p>
    <w:p>
      <w:pPr>
        <w:pStyle w:val="47"/>
        <w:widowControl/>
        <w:numPr>
          <w:ilvl w:val="0"/>
          <w:numId w:val="43"/>
        </w:numPr>
        <w:ind w:left="210" w:leftChars="100" w:firstLine="0" w:firstLineChars="0"/>
        <w:jc w:val="left"/>
        <w:rPr>
          <w:color w:val="auto"/>
          <w:szCs w:val="21"/>
          <w:highlight w:val="none"/>
        </w:rPr>
      </w:pPr>
      <w:r>
        <w:rPr>
          <w:rFonts w:hint="eastAsia"/>
          <w:color w:val="auto"/>
          <w:szCs w:val="21"/>
          <w:highlight w:val="none"/>
        </w:rPr>
        <w:t>《装配整体式叠合剪力墙结构技术规程》DG/TJ</w:t>
      </w:r>
      <w:r>
        <w:rPr>
          <w:color w:val="auto"/>
          <w:szCs w:val="21"/>
          <w:highlight w:val="none"/>
        </w:rPr>
        <w:t xml:space="preserve"> 08-2266</w:t>
      </w:r>
    </w:p>
    <w:p>
      <w:pPr>
        <w:pStyle w:val="47"/>
        <w:widowControl/>
        <w:tabs>
          <w:tab w:val="left" w:pos="0"/>
        </w:tabs>
        <w:ind w:firstLine="0" w:firstLineChars="0"/>
        <w:jc w:val="left"/>
        <w:rPr>
          <w:rFonts w:hint="eastAsia" w:ascii="宋体" w:hAnsi="宋体"/>
          <w:color w:val="auto"/>
          <w:szCs w:val="21"/>
          <w:highlight w:val="none"/>
        </w:rPr>
      </w:pPr>
    </w:p>
    <w:p>
      <w:pPr>
        <w:pStyle w:val="47"/>
        <w:widowControl/>
        <w:tabs>
          <w:tab w:val="left" w:pos="0"/>
        </w:tabs>
        <w:ind w:firstLine="0" w:firstLineChars="0"/>
        <w:jc w:val="left"/>
        <w:rPr>
          <w:rFonts w:hint="eastAsia" w:ascii="宋体" w:hAnsi="宋体"/>
          <w:color w:val="auto"/>
          <w:szCs w:val="21"/>
          <w:highlight w:val="none"/>
        </w:rPr>
      </w:pPr>
    </w:p>
    <w:p>
      <w:pPr>
        <w:pStyle w:val="47"/>
        <w:widowControl/>
        <w:tabs>
          <w:tab w:val="left" w:pos="0"/>
        </w:tabs>
        <w:ind w:firstLine="0" w:firstLineChars="0"/>
        <w:jc w:val="left"/>
        <w:rPr>
          <w:rFonts w:hint="eastAsia" w:ascii="宋体" w:hAnsi="宋体"/>
          <w:color w:val="auto"/>
          <w:szCs w:val="21"/>
          <w:highlight w:val="none"/>
        </w:rPr>
      </w:pPr>
    </w:p>
    <w:p>
      <w:pPr>
        <w:kinsoku w:val="0"/>
        <w:autoSpaceDE w:val="0"/>
        <w:autoSpaceDN w:val="0"/>
        <w:adjustRightInd w:val="0"/>
        <w:snapToGrid w:val="0"/>
        <w:jc w:val="center"/>
        <w:textAlignment w:val="baseline"/>
        <w:rPr>
          <w:rFonts w:hint="eastAsia" w:ascii="黑体" w:hAnsi="黑体" w:eastAsia="黑体" w:cs="黑体"/>
          <w:snapToGrid w:val="0"/>
          <w:color w:val="auto"/>
          <w:kern w:val="0"/>
          <w:sz w:val="60"/>
          <w:szCs w:val="60"/>
          <w:highlight w:val="none"/>
        </w:rPr>
      </w:pPr>
      <w:r>
        <w:rPr>
          <w:rFonts w:hint="eastAsia" w:ascii="黑体" w:hAnsi="黑体" w:eastAsia="黑体" w:cs="黑体"/>
          <w:snapToGrid w:val="0"/>
          <w:color w:val="auto"/>
          <w:kern w:val="0"/>
          <w:sz w:val="60"/>
          <w:szCs w:val="60"/>
          <w:highlight w:val="none"/>
        </w:rPr>
        <w:t>上海市混凝土模块化建筑</w:t>
      </w:r>
    </w:p>
    <w:p>
      <w:pPr>
        <w:kinsoku w:val="0"/>
        <w:autoSpaceDE w:val="0"/>
        <w:autoSpaceDN w:val="0"/>
        <w:adjustRightInd w:val="0"/>
        <w:snapToGrid w:val="0"/>
        <w:jc w:val="center"/>
        <w:textAlignment w:val="baseline"/>
        <w:rPr>
          <w:rFonts w:hint="eastAsia" w:ascii="黑体" w:hAnsi="黑体" w:eastAsia="黑体" w:cs="黑体"/>
          <w:snapToGrid w:val="0"/>
          <w:color w:val="auto"/>
          <w:kern w:val="0"/>
          <w:sz w:val="60"/>
          <w:szCs w:val="60"/>
          <w:highlight w:val="none"/>
        </w:rPr>
      </w:pPr>
      <w:r>
        <w:rPr>
          <w:rFonts w:hint="eastAsia" w:ascii="黑体" w:hAnsi="黑体" w:eastAsia="黑体" w:cs="黑体"/>
          <w:snapToGrid w:val="0"/>
          <w:color w:val="auto"/>
          <w:kern w:val="0"/>
          <w:sz w:val="60"/>
          <w:szCs w:val="60"/>
          <w:highlight w:val="none"/>
        </w:rPr>
        <w:t>技术导则(试行</w:t>
      </w:r>
      <w:r>
        <w:rPr>
          <w:rFonts w:hint="eastAsia" w:ascii="黑体" w:hAnsi="黑体" w:eastAsia="黑体" w:cs="黑体"/>
          <w:snapToGrid w:val="0"/>
          <w:color w:val="auto"/>
          <w:kern w:val="0"/>
          <w:sz w:val="60"/>
          <w:szCs w:val="60"/>
          <w:highlight w:val="none"/>
          <w:lang w:eastAsia="zh-CN"/>
        </w:rPr>
        <w:t>）</w:t>
      </w:r>
    </w:p>
    <w:p>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Cs w:val="21"/>
          <w:highlight w:val="none"/>
        </w:rPr>
      </w:pPr>
    </w:p>
    <w:p>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Cs w:val="21"/>
          <w:highlight w:val="none"/>
        </w:rPr>
      </w:pPr>
    </w:p>
    <w:p>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Cs w:val="21"/>
          <w:highlight w:val="none"/>
        </w:rPr>
      </w:pPr>
    </w:p>
    <w:p>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Cs w:val="21"/>
          <w:highlight w:val="none"/>
        </w:rPr>
      </w:pPr>
    </w:p>
    <w:p>
      <w:pPr>
        <w:kinsoku w:val="0"/>
        <w:autoSpaceDE w:val="0"/>
        <w:autoSpaceDN w:val="0"/>
        <w:adjustRightInd w:val="0"/>
        <w:snapToGrid w:val="0"/>
        <w:spacing w:line="255" w:lineRule="auto"/>
        <w:ind w:firstLine="3520" w:firstLineChars="800"/>
        <w:textAlignment w:val="baseline"/>
        <w:rPr>
          <w:rFonts w:ascii="Arial" w:hAnsi="Arial" w:cs="Arial"/>
          <w:snapToGrid w:val="0"/>
          <w:color w:val="auto"/>
          <w:kern w:val="0"/>
          <w:sz w:val="44"/>
          <w:szCs w:val="44"/>
          <w:highlight w:val="none"/>
        </w:rPr>
      </w:pPr>
      <w:r>
        <w:rPr>
          <w:rFonts w:hint="eastAsia" w:ascii="Arial" w:hAnsi="Arial" w:cs="Arial"/>
          <w:snapToGrid w:val="0"/>
          <w:color w:val="auto"/>
          <w:kern w:val="0"/>
          <w:sz w:val="44"/>
          <w:szCs w:val="44"/>
          <w:highlight w:val="none"/>
        </w:rPr>
        <w:t>条 文 说 明</w:t>
      </w:r>
    </w:p>
    <w:p>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Cs w:val="21"/>
          <w:highlight w:val="none"/>
        </w:rPr>
      </w:pPr>
    </w:p>
    <w:p>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Cs w:val="21"/>
          <w:highlight w:val="none"/>
        </w:rPr>
      </w:pPr>
    </w:p>
    <w:p>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Cs w:val="21"/>
          <w:highlight w:val="none"/>
        </w:rPr>
      </w:pPr>
    </w:p>
    <w:p>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Cs w:val="21"/>
          <w:highlight w:val="none"/>
        </w:rPr>
      </w:pPr>
    </w:p>
    <w:p>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Cs w:val="21"/>
          <w:highlight w:val="none"/>
        </w:rPr>
      </w:pPr>
    </w:p>
    <w:p>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Cs w:val="21"/>
          <w:highlight w:val="none"/>
        </w:rPr>
      </w:pPr>
    </w:p>
    <w:p>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Cs w:val="21"/>
          <w:highlight w:val="none"/>
        </w:rPr>
      </w:pPr>
    </w:p>
    <w:p>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Cs w:val="21"/>
          <w:highlight w:val="none"/>
        </w:rPr>
      </w:pPr>
    </w:p>
    <w:p>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Cs w:val="21"/>
          <w:highlight w:val="none"/>
        </w:rPr>
      </w:pPr>
    </w:p>
    <w:p>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Cs w:val="21"/>
          <w:highlight w:val="none"/>
        </w:rPr>
      </w:pPr>
    </w:p>
    <w:p>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Cs w:val="21"/>
          <w:highlight w:val="none"/>
        </w:rPr>
      </w:pPr>
    </w:p>
    <w:p>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Cs w:val="21"/>
          <w:highlight w:val="none"/>
        </w:rPr>
      </w:pPr>
    </w:p>
    <w:p>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Cs w:val="21"/>
          <w:highlight w:val="none"/>
        </w:rPr>
      </w:pPr>
    </w:p>
    <w:p>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Cs w:val="21"/>
          <w:highlight w:val="none"/>
        </w:rPr>
      </w:pPr>
    </w:p>
    <w:p>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Cs w:val="21"/>
          <w:highlight w:val="none"/>
        </w:rPr>
      </w:pPr>
    </w:p>
    <w:p>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Cs w:val="21"/>
          <w:highlight w:val="none"/>
        </w:rPr>
      </w:pPr>
    </w:p>
    <w:p>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Cs w:val="21"/>
          <w:highlight w:val="none"/>
        </w:rPr>
      </w:pPr>
    </w:p>
    <w:p>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Cs w:val="21"/>
          <w:highlight w:val="none"/>
        </w:rPr>
      </w:pPr>
    </w:p>
    <w:p>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Cs w:val="21"/>
          <w:highlight w:val="none"/>
        </w:rPr>
      </w:pPr>
    </w:p>
    <w:p>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Cs w:val="21"/>
          <w:highlight w:val="none"/>
        </w:rPr>
      </w:pPr>
    </w:p>
    <w:p>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Cs w:val="21"/>
          <w:highlight w:val="none"/>
        </w:rPr>
      </w:pPr>
    </w:p>
    <w:p>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Cs w:val="21"/>
          <w:highlight w:val="none"/>
        </w:rPr>
      </w:pPr>
    </w:p>
    <w:p>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Cs w:val="21"/>
          <w:highlight w:val="none"/>
        </w:rPr>
      </w:pPr>
    </w:p>
    <w:p>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Cs w:val="21"/>
          <w:highlight w:val="none"/>
        </w:rPr>
      </w:pPr>
    </w:p>
    <w:p>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Cs w:val="21"/>
          <w:highlight w:val="none"/>
        </w:rPr>
      </w:pPr>
    </w:p>
    <w:p>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Cs w:val="21"/>
          <w:highlight w:val="none"/>
        </w:rPr>
      </w:pPr>
    </w:p>
    <w:p>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Cs w:val="21"/>
          <w:highlight w:val="none"/>
        </w:rPr>
      </w:pPr>
    </w:p>
    <w:p>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Cs w:val="21"/>
          <w:highlight w:val="none"/>
        </w:rPr>
      </w:pPr>
    </w:p>
    <w:p>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Cs w:val="21"/>
          <w:highlight w:val="none"/>
        </w:rPr>
      </w:pPr>
    </w:p>
    <w:p>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Cs w:val="21"/>
          <w:highlight w:val="none"/>
        </w:rPr>
      </w:pPr>
    </w:p>
    <w:p>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Cs w:val="21"/>
          <w:highlight w:val="none"/>
        </w:rPr>
      </w:pPr>
    </w:p>
    <w:p>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Cs w:val="21"/>
          <w:highlight w:val="none"/>
        </w:rPr>
      </w:pPr>
    </w:p>
    <w:p>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Cs w:val="21"/>
          <w:highlight w:val="none"/>
        </w:rPr>
      </w:pPr>
    </w:p>
    <w:p>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Cs w:val="21"/>
          <w:highlight w:val="none"/>
        </w:rPr>
      </w:pPr>
    </w:p>
    <w:p>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Cs w:val="21"/>
          <w:highlight w:val="none"/>
        </w:rPr>
      </w:pPr>
    </w:p>
    <w:p>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Cs w:val="21"/>
          <w:highlight w:val="none"/>
        </w:rPr>
      </w:pPr>
    </w:p>
    <w:p>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Cs w:val="21"/>
          <w:highlight w:val="none"/>
        </w:rPr>
      </w:pPr>
    </w:p>
    <w:p>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Cs w:val="21"/>
          <w:highlight w:val="none"/>
        </w:rPr>
      </w:pPr>
    </w:p>
    <w:p>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Cs w:val="21"/>
          <w:highlight w:val="none"/>
        </w:rPr>
      </w:pPr>
    </w:p>
    <w:p>
      <w:pPr>
        <w:widowControl/>
        <w:jc w:val="center"/>
        <w:rPr>
          <w:rFonts w:ascii="Arial" w:hAnsi="Arial"/>
          <w:b/>
          <w:bCs/>
          <w:color w:val="auto"/>
          <w:spacing w:val="60"/>
          <w:kern w:val="44"/>
          <w:sz w:val="28"/>
          <w:szCs w:val="28"/>
          <w:highlight w:val="none"/>
        </w:rPr>
      </w:pPr>
      <w:r>
        <w:rPr>
          <w:rFonts w:hint="eastAsia" w:ascii="Arial" w:hAnsi="Arial"/>
          <w:b/>
          <w:bCs/>
          <w:color w:val="auto"/>
          <w:spacing w:val="60"/>
          <w:kern w:val="44"/>
          <w:sz w:val="28"/>
          <w:szCs w:val="28"/>
          <w:highlight w:val="none"/>
        </w:rPr>
        <w:t>目    次</w:t>
      </w:r>
    </w:p>
    <w:p>
      <w:pPr>
        <w:pStyle w:val="17"/>
        <w:tabs>
          <w:tab w:val="right" w:leader="dot" w:pos="9264"/>
          <w:tab w:val="clear" w:pos="1050"/>
          <w:tab w:val="clear" w:pos="13948"/>
        </w:tabs>
        <w:rPr>
          <w:color w:val="auto"/>
          <w:highlight w:val="none"/>
        </w:rPr>
      </w:pPr>
      <w:r>
        <w:rPr>
          <w:color w:val="auto"/>
          <w:highlight w:val="none"/>
        </w:rPr>
        <w:fldChar w:fldCharType="begin"/>
      </w:r>
      <w:r>
        <w:rPr>
          <w:color w:val="auto"/>
          <w:highlight w:val="none"/>
        </w:rPr>
        <w:instrText xml:space="preserve"> HYPERLINK \l "_Toc18593" </w:instrText>
      </w:r>
      <w:r>
        <w:rPr>
          <w:color w:val="auto"/>
          <w:highlight w:val="none"/>
        </w:rPr>
        <w:fldChar w:fldCharType="separate"/>
      </w:r>
      <w:r>
        <w:rPr>
          <w:color w:val="auto"/>
          <w:highlight w:val="none"/>
        </w:rPr>
        <w:t>1  总则</w:t>
      </w:r>
      <w:r>
        <w:rPr>
          <w:color w:val="auto"/>
          <w:highlight w:val="none"/>
        </w:rPr>
        <w:tab/>
      </w:r>
      <w:r>
        <w:rPr>
          <w:rFonts w:hint="eastAsia"/>
          <w:color w:val="auto"/>
          <w:highlight w:val="none"/>
        </w:rPr>
        <w:t>63</w:t>
      </w:r>
      <w:r>
        <w:rPr>
          <w:rFonts w:hint="eastAsia"/>
          <w:color w:val="auto"/>
          <w:highlight w:val="none"/>
        </w:rPr>
        <w:fldChar w:fldCharType="end"/>
      </w:r>
    </w:p>
    <w:p>
      <w:pPr>
        <w:pStyle w:val="17"/>
        <w:tabs>
          <w:tab w:val="right" w:leader="dot" w:pos="9264"/>
          <w:tab w:val="clear" w:pos="1050"/>
          <w:tab w:val="clear" w:pos="13948"/>
        </w:tabs>
        <w:rPr>
          <w:color w:val="auto"/>
          <w:highlight w:val="none"/>
        </w:rPr>
      </w:pPr>
      <w:r>
        <w:rPr>
          <w:color w:val="auto"/>
          <w:highlight w:val="none"/>
        </w:rPr>
        <w:fldChar w:fldCharType="begin"/>
      </w:r>
      <w:r>
        <w:rPr>
          <w:color w:val="auto"/>
          <w:highlight w:val="none"/>
        </w:rPr>
        <w:instrText xml:space="preserve"> HYPERLINK \l "_Toc16166" </w:instrText>
      </w:r>
      <w:r>
        <w:rPr>
          <w:color w:val="auto"/>
          <w:highlight w:val="none"/>
        </w:rPr>
        <w:fldChar w:fldCharType="separate"/>
      </w:r>
      <w:r>
        <w:rPr>
          <w:color w:val="auto"/>
          <w:highlight w:val="none"/>
        </w:rPr>
        <w:t>3</w:t>
      </w:r>
      <w:r>
        <w:rPr>
          <w:rFonts w:hint="eastAsia"/>
          <w:color w:val="auto"/>
          <w:highlight w:val="none"/>
        </w:rPr>
        <w:t xml:space="preserve">  项目策划</w:t>
      </w:r>
      <w:r>
        <w:rPr>
          <w:color w:val="auto"/>
          <w:highlight w:val="none"/>
        </w:rPr>
        <w:tab/>
      </w:r>
      <w:r>
        <w:rPr>
          <w:rFonts w:hint="eastAsia"/>
          <w:color w:val="auto"/>
          <w:highlight w:val="none"/>
        </w:rPr>
        <w:t>6</w:t>
      </w:r>
      <w:r>
        <w:rPr>
          <w:rFonts w:hint="eastAsia"/>
          <w:color w:val="auto"/>
          <w:highlight w:val="none"/>
        </w:rPr>
        <w:fldChar w:fldCharType="end"/>
      </w:r>
      <w:r>
        <w:rPr>
          <w:rFonts w:hint="eastAsia"/>
          <w:color w:val="auto"/>
          <w:highlight w:val="none"/>
        </w:rPr>
        <w:t>4</w:t>
      </w:r>
    </w:p>
    <w:p>
      <w:pPr>
        <w:pStyle w:val="20"/>
        <w:tabs>
          <w:tab w:val="right" w:leader="dot" w:pos="9264"/>
        </w:tabs>
        <w:rPr>
          <w:color w:val="auto"/>
          <w:highlight w:val="none"/>
        </w:rPr>
      </w:pPr>
      <w:r>
        <w:rPr>
          <w:color w:val="auto"/>
          <w:highlight w:val="none"/>
        </w:rPr>
        <w:fldChar w:fldCharType="begin"/>
      </w:r>
      <w:r>
        <w:rPr>
          <w:color w:val="auto"/>
          <w:highlight w:val="none"/>
        </w:rPr>
        <w:instrText xml:space="preserve"> HYPERLINK \l "_Toc3572" </w:instrText>
      </w:r>
      <w:r>
        <w:rPr>
          <w:color w:val="auto"/>
          <w:highlight w:val="none"/>
        </w:rPr>
        <w:fldChar w:fldCharType="separate"/>
      </w:r>
      <w:r>
        <w:rPr>
          <w:rFonts w:hint="eastAsia"/>
          <w:color w:val="auto"/>
          <w:highlight w:val="none"/>
        </w:rPr>
        <w:t>3</w:t>
      </w:r>
      <w:r>
        <w:rPr>
          <w:rFonts w:hint="eastAsia" w:ascii="宋体" w:hAnsi="宋体"/>
          <w:color w:val="auto"/>
          <w:szCs w:val="21"/>
          <w:highlight w:val="none"/>
        </w:rPr>
        <w:t>.</w:t>
      </w:r>
      <w:r>
        <w:rPr>
          <w:color w:val="auto"/>
          <w:highlight w:val="none"/>
        </w:rPr>
        <w:t>1</w:t>
      </w:r>
      <w:r>
        <w:rPr>
          <w:rFonts w:hint="eastAsia"/>
          <w:color w:val="auto"/>
          <w:highlight w:val="none"/>
        </w:rPr>
        <w:t xml:space="preserve">  一般规定</w:t>
      </w:r>
      <w:r>
        <w:rPr>
          <w:color w:val="auto"/>
          <w:highlight w:val="none"/>
        </w:rPr>
        <w:tab/>
      </w:r>
      <w:r>
        <w:rPr>
          <w:rFonts w:hint="eastAsia"/>
          <w:color w:val="auto"/>
          <w:highlight w:val="none"/>
        </w:rPr>
        <w:t>64</w:t>
      </w:r>
      <w:r>
        <w:rPr>
          <w:rFonts w:hint="eastAsia"/>
          <w:color w:val="auto"/>
          <w:highlight w:val="none"/>
        </w:rPr>
        <w:fldChar w:fldCharType="end"/>
      </w:r>
    </w:p>
    <w:p>
      <w:pPr>
        <w:pStyle w:val="20"/>
        <w:tabs>
          <w:tab w:val="right" w:leader="dot" w:pos="9264"/>
        </w:tabs>
        <w:rPr>
          <w:color w:val="auto"/>
          <w:highlight w:val="none"/>
        </w:rPr>
      </w:pPr>
      <w:r>
        <w:rPr>
          <w:color w:val="auto"/>
          <w:highlight w:val="none"/>
        </w:rPr>
        <w:fldChar w:fldCharType="begin"/>
      </w:r>
      <w:r>
        <w:rPr>
          <w:color w:val="auto"/>
          <w:highlight w:val="none"/>
        </w:rPr>
        <w:instrText xml:space="preserve"> HYPERLINK \l "_Toc2217" </w:instrText>
      </w:r>
      <w:r>
        <w:rPr>
          <w:color w:val="auto"/>
          <w:highlight w:val="none"/>
        </w:rPr>
        <w:fldChar w:fldCharType="separate"/>
      </w:r>
      <w:r>
        <w:rPr>
          <w:rFonts w:hint="eastAsia"/>
          <w:color w:val="auto"/>
          <w:highlight w:val="none"/>
        </w:rPr>
        <w:t>3</w:t>
      </w:r>
      <w:r>
        <w:rPr>
          <w:rFonts w:hint="eastAsia" w:ascii="宋体" w:hAnsi="宋体"/>
          <w:color w:val="auto"/>
          <w:szCs w:val="21"/>
          <w:highlight w:val="none"/>
        </w:rPr>
        <w:t>.</w:t>
      </w:r>
      <w:r>
        <w:rPr>
          <w:rFonts w:hint="eastAsia"/>
          <w:color w:val="auto"/>
          <w:highlight w:val="none"/>
        </w:rPr>
        <w:t>2  设计策划</w:t>
      </w:r>
      <w:r>
        <w:rPr>
          <w:color w:val="auto"/>
          <w:highlight w:val="none"/>
        </w:rPr>
        <w:tab/>
      </w:r>
      <w:r>
        <w:rPr>
          <w:rFonts w:hint="eastAsia"/>
          <w:color w:val="auto"/>
          <w:highlight w:val="none"/>
        </w:rPr>
        <w:t>6</w:t>
      </w:r>
      <w:r>
        <w:rPr>
          <w:rFonts w:hint="eastAsia"/>
          <w:color w:val="auto"/>
          <w:highlight w:val="none"/>
        </w:rPr>
        <w:fldChar w:fldCharType="end"/>
      </w:r>
      <w:r>
        <w:rPr>
          <w:rFonts w:hint="eastAsia"/>
          <w:color w:val="auto"/>
          <w:highlight w:val="none"/>
        </w:rPr>
        <w:t>4</w:t>
      </w:r>
    </w:p>
    <w:p>
      <w:pPr>
        <w:pStyle w:val="20"/>
        <w:tabs>
          <w:tab w:val="right" w:leader="dot" w:pos="9264"/>
        </w:tabs>
        <w:rPr>
          <w:color w:val="auto"/>
          <w:highlight w:val="none"/>
        </w:rPr>
      </w:pPr>
      <w:r>
        <w:rPr>
          <w:color w:val="auto"/>
          <w:highlight w:val="none"/>
        </w:rPr>
        <w:fldChar w:fldCharType="begin"/>
      </w:r>
      <w:r>
        <w:rPr>
          <w:color w:val="auto"/>
          <w:highlight w:val="none"/>
        </w:rPr>
        <w:instrText xml:space="preserve"> HYPERLINK \l "_Toc13983" </w:instrText>
      </w:r>
      <w:r>
        <w:rPr>
          <w:color w:val="auto"/>
          <w:highlight w:val="none"/>
        </w:rPr>
        <w:fldChar w:fldCharType="separate"/>
      </w:r>
      <w:r>
        <w:rPr>
          <w:rFonts w:hint="eastAsia"/>
          <w:color w:val="auto"/>
          <w:highlight w:val="none"/>
        </w:rPr>
        <w:t>3</w:t>
      </w:r>
      <w:r>
        <w:rPr>
          <w:rFonts w:hint="eastAsia" w:ascii="宋体" w:hAnsi="宋体"/>
          <w:color w:val="auto"/>
          <w:szCs w:val="21"/>
          <w:highlight w:val="none"/>
        </w:rPr>
        <w:t>.</w:t>
      </w:r>
      <w:r>
        <w:rPr>
          <w:rFonts w:hint="eastAsia"/>
          <w:color w:val="auto"/>
          <w:highlight w:val="none"/>
        </w:rPr>
        <w:t>3  工厂制造与现场施工策划</w:t>
      </w:r>
      <w:r>
        <w:rPr>
          <w:color w:val="auto"/>
          <w:highlight w:val="none"/>
        </w:rPr>
        <w:tab/>
      </w:r>
      <w:r>
        <w:rPr>
          <w:rFonts w:hint="eastAsia"/>
          <w:color w:val="auto"/>
          <w:highlight w:val="none"/>
        </w:rPr>
        <w:t>6</w:t>
      </w:r>
      <w:r>
        <w:rPr>
          <w:rFonts w:hint="eastAsia"/>
          <w:color w:val="auto"/>
          <w:highlight w:val="none"/>
        </w:rPr>
        <w:fldChar w:fldCharType="end"/>
      </w:r>
      <w:r>
        <w:rPr>
          <w:rFonts w:hint="eastAsia"/>
          <w:color w:val="auto"/>
          <w:highlight w:val="none"/>
        </w:rPr>
        <w:t>4</w:t>
      </w:r>
    </w:p>
    <w:p>
      <w:pPr>
        <w:pStyle w:val="17"/>
        <w:tabs>
          <w:tab w:val="right" w:leader="dot" w:pos="9264"/>
          <w:tab w:val="clear" w:pos="1050"/>
          <w:tab w:val="clear" w:pos="13948"/>
        </w:tabs>
        <w:rPr>
          <w:color w:val="auto"/>
          <w:highlight w:val="none"/>
        </w:rPr>
      </w:pPr>
      <w:r>
        <w:rPr>
          <w:color w:val="auto"/>
          <w:highlight w:val="none"/>
        </w:rPr>
        <w:fldChar w:fldCharType="begin"/>
      </w:r>
      <w:r>
        <w:rPr>
          <w:color w:val="auto"/>
          <w:highlight w:val="none"/>
        </w:rPr>
        <w:instrText xml:space="preserve"> HYPERLINK \l "_Toc6189" </w:instrText>
      </w:r>
      <w:r>
        <w:rPr>
          <w:color w:val="auto"/>
          <w:highlight w:val="none"/>
        </w:rPr>
        <w:fldChar w:fldCharType="separate"/>
      </w:r>
      <w:r>
        <w:rPr>
          <w:rFonts w:hint="eastAsia"/>
          <w:color w:val="auto"/>
          <w:highlight w:val="none"/>
        </w:rPr>
        <w:t>4  建筑设计</w:t>
      </w:r>
      <w:r>
        <w:rPr>
          <w:color w:val="auto"/>
          <w:highlight w:val="none"/>
        </w:rPr>
        <w:tab/>
      </w:r>
      <w:r>
        <w:rPr>
          <w:rFonts w:hint="eastAsia"/>
          <w:color w:val="auto"/>
          <w:highlight w:val="none"/>
        </w:rPr>
        <w:t>6</w:t>
      </w:r>
      <w:r>
        <w:rPr>
          <w:rFonts w:hint="eastAsia"/>
          <w:color w:val="auto"/>
          <w:highlight w:val="none"/>
        </w:rPr>
        <w:fldChar w:fldCharType="end"/>
      </w:r>
      <w:r>
        <w:rPr>
          <w:rFonts w:hint="eastAsia"/>
          <w:color w:val="auto"/>
          <w:highlight w:val="none"/>
        </w:rPr>
        <w:t>6</w:t>
      </w:r>
    </w:p>
    <w:p>
      <w:pPr>
        <w:pStyle w:val="20"/>
        <w:tabs>
          <w:tab w:val="right" w:leader="dot" w:pos="9264"/>
        </w:tabs>
        <w:rPr>
          <w:color w:val="auto"/>
          <w:highlight w:val="none"/>
        </w:rPr>
      </w:pPr>
      <w:r>
        <w:rPr>
          <w:color w:val="auto"/>
          <w:highlight w:val="none"/>
        </w:rPr>
        <w:fldChar w:fldCharType="begin"/>
      </w:r>
      <w:r>
        <w:rPr>
          <w:color w:val="auto"/>
          <w:highlight w:val="none"/>
        </w:rPr>
        <w:instrText xml:space="preserve"> HYPERLINK \l "_Toc30080" </w:instrText>
      </w:r>
      <w:r>
        <w:rPr>
          <w:color w:val="auto"/>
          <w:highlight w:val="none"/>
        </w:rPr>
        <w:fldChar w:fldCharType="separate"/>
      </w:r>
      <w:r>
        <w:rPr>
          <w:color w:val="auto"/>
          <w:highlight w:val="none"/>
        </w:rPr>
        <w:t>4</w:t>
      </w:r>
      <w:r>
        <w:rPr>
          <w:rFonts w:hint="eastAsia" w:ascii="宋体" w:hAnsi="宋体"/>
          <w:color w:val="auto"/>
          <w:szCs w:val="21"/>
          <w:highlight w:val="none"/>
        </w:rPr>
        <w:t>.</w:t>
      </w:r>
      <w:r>
        <w:rPr>
          <w:color w:val="auto"/>
          <w:highlight w:val="none"/>
        </w:rPr>
        <w:t>2</w:t>
      </w:r>
      <w:r>
        <w:rPr>
          <w:rFonts w:hint="eastAsia"/>
          <w:color w:val="auto"/>
          <w:highlight w:val="none"/>
        </w:rPr>
        <w:t xml:space="preserve">  模数协调</w:t>
      </w:r>
      <w:r>
        <w:rPr>
          <w:color w:val="auto"/>
          <w:highlight w:val="none"/>
        </w:rPr>
        <w:tab/>
      </w:r>
      <w:r>
        <w:rPr>
          <w:rFonts w:hint="eastAsia"/>
          <w:color w:val="auto"/>
          <w:highlight w:val="none"/>
        </w:rPr>
        <w:t>6</w:t>
      </w:r>
      <w:r>
        <w:rPr>
          <w:rFonts w:hint="eastAsia"/>
          <w:color w:val="auto"/>
          <w:highlight w:val="none"/>
        </w:rPr>
        <w:fldChar w:fldCharType="end"/>
      </w:r>
      <w:r>
        <w:rPr>
          <w:rFonts w:hint="eastAsia"/>
          <w:color w:val="auto"/>
          <w:highlight w:val="none"/>
        </w:rPr>
        <w:t>6</w:t>
      </w:r>
    </w:p>
    <w:p>
      <w:pPr>
        <w:pStyle w:val="20"/>
        <w:tabs>
          <w:tab w:val="right" w:leader="dot" w:pos="9264"/>
        </w:tabs>
        <w:rPr>
          <w:color w:val="auto"/>
          <w:highlight w:val="none"/>
        </w:rPr>
      </w:pPr>
      <w:r>
        <w:rPr>
          <w:color w:val="auto"/>
          <w:highlight w:val="none"/>
        </w:rPr>
        <w:fldChar w:fldCharType="begin"/>
      </w:r>
      <w:r>
        <w:rPr>
          <w:color w:val="auto"/>
          <w:highlight w:val="none"/>
        </w:rPr>
        <w:instrText xml:space="preserve"> HYPERLINK \l "_Toc5133" </w:instrText>
      </w:r>
      <w:r>
        <w:rPr>
          <w:color w:val="auto"/>
          <w:highlight w:val="none"/>
        </w:rPr>
        <w:fldChar w:fldCharType="separate"/>
      </w:r>
      <w:r>
        <w:rPr>
          <w:rFonts w:hint="eastAsia"/>
          <w:color w:val="auto"/>
          <w:highlight w:val="none"/>
        </w:rPr>
        <w:t>4</w:t>
      </w:r>
      <w:r>
        <w:rPr>
          <w:rFonts w:hint="eastAsia" w:ascii="宋体" w:hAnsi="宋体"/>
          <w:color w:val="auto"/>
          <w:szCs w:val="21"/>
          <w:highlight w:val="none"/>
        </w:rPr>
        <w:t>.</w:t>
      </w:r>
      <w:r>
        <w:rPr>
          <w:color w:val="auto"/>
          <w:highlight w:val="none"/>
        </w:rPr>
        <w:t>3</w:t>
      </w:r>
      <w:r>
        <w:rPr>
          <w:rFonts w:hint="eastAsia"/>
          <w:color w:val="auto"/>
          <w:highlight w:val="none"/>
        </w:rPr>
        <w:t xml:space="preserve">  建筑平面、立面设计</w:t>
      </w:r>
      <w:r>
        <w:rPr>
          <w:color w:val="auto"/>
          <w:highlight w:val="none"/>
        </w:rPr>
        <w:tab/>
      </w:r>
      <w:r>
        <w:rPr>
          <w:rFonts w:hint="eastAsia"/>
          <w:color w:val="auto"/>
          <w:highlight w:val="none"/>
        </w:rPr>
        <w:t>6</w:t>
      </w:r>
      <w:r>
        <w:rPr>
          <w:rFonts w:hint="eastAsia"/>
          <w:color w:val="auto"/>
          <w:highlight w:val="none"/>
        </w:rPr>
        <w:fldChar w:fldCharType="end"/>
      </w:r>
      <w:r>
        <w:rPr>
          <w:rFonts w:hint="eastAsia"/>
          <w:color w:val="auto"/>
          <w:highlight w:val="none"/>
        </w:rPr>
        <w:t>6</w:t>
      </w:r>
    </w:p>
    <w:p>
      <w:pPr>
        <w:pStyle w:val="20"/>
        <w:tabs>
          <w:tab w:val="right" w:leader="dot" w:pos="9264"/>
        </w:tabs>
        <w:rPr>
          <w:color w:val="auto"/>
          <w:highlight w:val="none"/>
        </w:rPr>
      </w:pPr>
      <w:r>
        <w:rPr>
          <w:color w:val="auto"/>
          <w:highlight w:val="none"/>
        </w:rPr>
        <w:fldChar w:fldCharType="begin"/>
      </w:r>
      <w:r>
        <w:rPr>
          <w:color w:val="auto"/>
          <w:highlight w:val="none"/>
        </w:rPr>
        <w:instrText xml:space="preserve"> HYPERLINK \l "_Toc26949" </w:instrText>
      </w:r>
      <w:r>
        <w:rPr>
          <w:color w:val="auto"/>
          <w:highlight w:val="none"/>
        </w:rPr>
        <w:fldChar w:fldCharType="separate"/>
      </w:r>
      <w:r>
        <w:rPr>
          <w:rFonts w:hint="eastAsia"/>
          <w:color w:val="auto"/>
          <w:highlight w:val="none"/>
        </w:rPr>
        <w:t>4</w:t>
      </w:r>
      <w:r>
        <w:rPr>
          <w:rFonts w:hint="eastAsia" w:ascii="宋体" w:hAnsi="宋体"/>
          <w:color w:val="auto"/>
          <w:szCs w:val="21"/>
          <w:highlight w:val="none"/>
        </w:rPr>
        <w:t>.</w:t>
      </w:r>
      <w:r>
        <w:rPr>
          <w:color w:val="auto"/>
          <w:highlight w:val="none"/>
        </w:rPr>
        <w:t>4</w:t>
      </w:r>
      <w:r>
        <w:rPr>
          <w:rFonts w:hint="eastAsia"/>
          <w:color w:val="auto"/>
          <w:highlight w:val="none"/>
        </w:rPr>
        <w:t xml:space="preserve">  构造要求</w:t>
      </w:r>
      <w:r>
        <w:rPr>
          <w:color w:val="auto"/>
          <w:highlight w:val="none"/>
        </w:rPr>
        <w:tab/>
      </w:r>
      <w:r>
        <w:rPr>
          <w:rFonts w:hint="eastAsia"/>
          <w:color w:val="auto"/>
          <w:highlight w:val="none"/>
        </w:rPr>
        <w:t>6</w:t>
      </w:r>
      <w:r>
        <w:rPr>
          <w:rFonts w:hint="eastAsia"/>
          <w:color w:val="auto"/>
          <w:highlight w:val="none"/>
        </w:rPr>
        <w:fldChar w:fldCharType="end"/>
      </w:r>
      <w:r>
        <w:rPr>
          <w:rFonts w:hint="eastAsia"/>
          <w:color w:val="auto"/>
          <w:highlight w:val="none"/>
        </w:rPr>
        <w:t>7</w:t>
      </w:r>
    </w:p>
    <w:p>
      <w:pPr>
        <w:pStyle w:val="17"/>
        <w:tabs>
          <w:tab w:val="right" w:leader="dot" w:pos="9264"/>
          <w:tab w:val="clear" w:pos="1050"/>
          <w:tab w:val="clear" w:pos="13948"/>
        </w:tabs>
        <w:rPr>
          <w:color w:val="auto"/>
          <w:highlight w:val="none"/>
        </w:rPr>
      </w:pPr>
      <w:r>
        <w:rPr>
          <w:color w:val="auto"/>
          <w:highlight w:val="none"/>
        </w:rPr>
        <w:fldChar w:fldCharType="begin"/>
      </w:r>
      <w:r>
        <w:rPr>
          <w:color w:val="auto"/>
          <w:highlight w:val="none"/>
        </w:rPr>
        <w:instrText xml:space="preserve"> HYPERLINK \l "_Toc28917" </w:instrText>
      </w:r>
      <w:r>
        <w:rPr>
          <w:color w:val="auto"/>
          <w:highlight w:val="none"/>
        </w:rPr>
        <w:fldChar w:fldCharType="separate"/>
      </w:r>
      <w:r>
        <w:rPr>
          <w:color w:val="auto"/>
          <w:highlight w:val="none"/>
        </w:rPr>
        <w:t>5</w:t>
      </w:r>
      <w:r>
        <w:rPr>
          <w:rFonts w:hint="eastAsia"/>
          <w:color w:val="auto"/>
          <w:highlight w:val="none"/>
        </w:rPr>
        <w:t xml:space="preserve">  结构设计</w:t>
      </w:r>
      <w:r>
        <w:rPr>
          <w:color w:val="auto"/>
          <w:highlight w:val="none"/>
        </w:rPr>
        <w:tab/>
      </w:r>
      <w:r>
        <w:rPr>
          <w:rFonts w:hint="eastAsia"/>
          <w:color w:val="auto"/>
          <w:highlight w:val="none"/>
        </w:rPr>
        <w:t>6</w:t>
      </w:r>
      <w:r>
        <w:rPr>
          <w:rFonts w:hint="eastAsia"/>
          <w:color w:val="auto"/>
          <w:highlight w:val="none"/>
        </w:rPr>
        <w:fldChar w:fldCharType="end"/>
      </w:r>
      <w:r>
        <w:rPr>
          <w:rFonts w:hint="eastAsia"/>
          <w:color w:val="auto"/>
          <w:highlight w:val="none"/>
        </w:rPr>
        <w:t>8</w:t>
      </w:r>
    </w:p>
    <w:p>
      <w:pPr>
        <w:pStyle w:val="20"/>
        <w:tabs>
          <w:tab w:val="right" w:leader="dot" w:pos="9264"/>
        </w:tabs>
        <w:rPr>
          <w:color w:val="auto"/>
          <w:highlight w:val="none"/>
        </w:rPr>
      </w:pPr>
      <w:r>
        <w:rPr>
          <w:color w:val="auto"/>
          <w:highlight w:val="none"/>
        </w:rPr>
        <w:fldChar w:fldCharType="begin"/>
      </w:r>
      <w:r>
        <w:rPr>
          <w:color w:val="auto"/>
          <w:highlight w:val="none"/>
        </w:rPr>
        <w:instrText xml:space="preserve"> HYPERLINK \l "_Toc15278" </w:instrText>
      </w:r>
      <w:r>
        <w:rPr>
          <w:color w:val="auto"/>
          <w:highlight w:val="none"/>
        </w:rPr>
        <w:fldChar w:fldCharType="separate"/>
      </w:r>
      <w:r>
        <w:rPr>
          <w:rFonts w:hint="eastAsia"/>
          <w:color w:val="auto"/>
          <w:highlight w:val="none"/>
        </w:rPr>
        <w:t>5</w:t>
      </w:r>
      <w:r>
        <w:rPr>
          <w:rFonts w:hint="eastAsia" w:ascii="宋体" w:hAnsi="宋体"/>
          <w:color w:val="auto"/>
          <w:szCs w:val="21"/>
          <w:highlight w:val="none"/>
        </w:rPr>
        <w:t>.</w:t>
      </w:r>
      <w:r>
        <w:rPr>
          <w:color w:val="auto"/>
          <w:highlight w:val="none"/>
        </w:rPr>
        <w:t>2</w:t>
      </w:r>
      <w:r>
        <w:rPr>
          <w:rFonts w:hint="eastAsia"/>
          <w:color w:val="auto"/>
          <w:highlight w:val="none"/>
        </w:rPr>
        <w:t xml:space="preserve">  结构体系</w:t>
      </w:r>
      <w:r>
        <w:rPr>
          <w:color w:val="auto"/>
          <w:highlight w:val="none"/>
        </w:rPr>
        <w:tab/>
      </w:r>
      <w:r>
        <w:rPr>
          <w:rFonts w:hint="eastAsia"/>
          <w:color w:val="auto"/>
          <w:highlight w:val="none"/>
        </w:rPr>
        <w:t>6</w:t>
      </w:r>
      <w:r>
        <w:rPr>
          <w:rFonts w:hint="eastAsia"/>
          <w:color w:val="auto"/>
          <w:highlight w:val="none"/>
        </w:rPr>
        <w:fldChar w:fldCharType="end"/>
      </w:r>
      <w:r>
        <w:rPr>
          <w:rFonts w:hint="eastAsia"/>
          <w:color w:val="auto"/>
          <w:highlight w:val="none"/>
        </w:rPr>
        <w:t>8</w:t>
      </w:r>
    </w:p>
    <w:p>
      <w:pPr>
        <w:pStyle w:val="20"/>
        <w:tabs>
          <w:tab w:val="right" w:leader="dot" w:pos="9264"/>
        </w:tabs>
        <w:rPr>
          <w:color w:val="auto"/>
          <w:highlight w:val="none"/>
        </w:rPr>
      </w:pPr>
      <w:r>
        <w:rPr>
          <w:color w:val="auto"/>
          <w:highlight w:val="none"/>
        </w:rPr>
        <w:fldChar w:fldCharType="begin"/>
      </w:r>
      <w:r>
        <w:rPr>
          <w:color w:val="auto"/>
          <w:highlight w:val="none"/>
        </w:rPr>
        <w:instrText xml:space="preserve"> HYPERLINK \l "_Toc12218" </w:instrText>
      </w:r>
      <w:r>
        <w:rPr>
          <w:color w:val="auto"/>
          <w:highlight w:val="none"/>
        </w:rPr>
        <w:fldChar w:fldCharType="separate"/>
      </w:r>
      <w:r>
        <w:rPr>
          <w:color w:val="auto"/>
          <w:highlight w:val="none"/>
        </w:rPr>
        <w:t>5</w:t>
      </w:r>
      <w:r>
        <w:rPr>
          <w:rFonts w:hint="eastAsia" w:ascii="宋体" w:hAnsi="宋体" w:cs="宋体"/>
          <w:color w:val="auto"/>
          <w:highlight w:val="none"/>
        </w:rPr>
        <w:t>.</w:t>
      </w:r>
      <w:r>
        <w:rPr>
          <w:color w:val="auto"/>
          <w:highlight w:val="none"/>
        </w:rPr>
        <w:t xml:space="preserve">3  </w:t>
      </w:r>
      <w:r>
        <w:rPr>
          <w:rFonts w:hint="eastAsia"/>
          <w:color w:val="auto"/>
          <w:highlight w:val="none"/>
        </w:rPr>
        <w:t>结构分析与计算</w:t>
      </w:r>
      <w:r>
        <w:rPr>
          <w:color w:val="auto"/>
          <w:highlight w:val="none"/>
        </w:rPr>
        <w:tab/>
      </w:r>
      <w:r>
        <w:rPr>
          <w:rFonts w:hint="eastAsia"/>
          <w:color w:val="auto"/>
          <w:highlight w:val="none"/>
        </w:rPr>
        <w:t>7</w:t>
      </w:r>
      <w:r>
        <w:rPr>
          <w:rFonts w:hint="eastAsia"/>
          <w:color w:val="auto"/>
          <w:highlight w:val="none"/>
        </w:rPr>
        <w:fldChar w:fldCharType="end"/>
      </w:r>
      <w:r>
        <w:rPr>
          <w:rFonts w:hint="eastAsia"/>
          <w:color w:val="auto"/>
          <w:highlight w:val="none"/>
        </w:rPr>
        <w:t>1</w:t>
      </w:r>
    </w:p>
    <w:p>
      <w:pPr>
        <w:pStyle w:val="20"/>
        <w:tabs>
          <w:tab w:val="right" w:leader="dot" w:pos="9264"/>
        </w:tabs>
        <w:rPr>
          <w:color w:val="auto"/>
          <w:highlight w:val="none"/>
        </w:rPr>
      </w:pPr>
      <w:r>
        <w:rPr>
          <w:color w:val="auto"/>
          <w:highlight w:val="none"/>
        </w:rPr>
        <w:fldChar w:fldCharType="begin"/>
      </w:r>
      <w:r>
        <w:rPr>
          <w:color w:val="auto"/>
          <w:highlight w:val="none"/>
        </w:rPr>
        <w:instrText xml:space="preserve"> HYPERLINK \l "_Toc31180" </w:instrText>
      </w:r>
      <w:r>
        <w:rPr>
          <w:color w:val="auto"/>
          <w:highlight w:val="none"/>
        </w:rPr>
        <w:fldChar w:fldCharType="separate"/>
      </w:r>
      <w:r>
        <w:rPr>
          <w:color w:val="auto"/>
          <w:highlight w:val="none"/>
        </w:rPr>
        <w:t>5</w:t>
      </w:r>
      <w:r>
        <w:rPr>
          <w:rFonts w:hint="eastAsia" w:ascii="仿宋" w:hAnsi="仿宋" w:eastAsia="仿宋" w:cs="仿宋"/>
          <w:color w:val="auto"/>
          <w:highlight w:val="none"/>
        </w:rPr>
        <w:t>.</w:t>
      </w:r>
      <w:r>
        <w:rPr>
          <w:rFonts w:hint="eastAsia"/>
          <w:color w:val="auto"/>
          <w:highlight w:val="none"/>
        </w:rPr>
        <w:t>4</w:t>
      </w:r>
      <w:r>
        <w:rPr>
          <w:color w:val="auto"/>
          <w:highlight w:val="none"/>
        </w:rPr>
        <w:t xml:space="preserve">  </w:t>
      </w:r>
      <w:r>
        <w:rPr>
          <w:rFonts w:hint="eastAsia"/>
          <w:color w:val="auto"/>
          <w:highlight w:val="none"/>
        </w:rPr>
        <w:t>模块单元</w:t>
      </w:r>
      <w:r>
        <w:rPr>
          <w:color w:val="auto"/>
          <w:highlight w:val="none"/>
        </w:rPr>
        <w:t>设计</w:t>
      </w:r>
      <w:r>
        <w:rPr>
          <w:color w:val="auto"/>
          <w:highlight w:val="none"/>
        </w:rPr>
        <w:tab/>
      </w:r>
      <w:r>
        <w:rPr>
          <w:rFonts w:hint="eastAsia"/>
          <w:color w:val="auto"/>
          <w:highlight w:val="none"/>
        </w:rPr>
        <w:t>7</w:t>
      </w:r>
      <w:r>
        <w:rPr>
          <w:rFonts w:hint="eastAsia"/>
          <w:color w:val="auto"/>
          <w:highlight w:val="none"/>
        </w:rPr>
        <w:fldChar w:fldCharType="end"/>
      </w:r>
      <w:r>
        <w:rPr>
          <w:rFonts w:hint="eastAsia"/>
          <w:color w:val="auto"/>
          <w:highlight w:val="none"/>
        </w:rPr>
        <w:t>3</w:t>
      </w:r>
    </w:p>
    <w:p>
      <w:pPr>
        <w:pStyle w:val="20"/>
        <w:tabs>
          <w:tab w:val="right" w:leader="dot" w:pos="9264"/>
        </w:tabs>
        <w:rPr>
          <w:color w:val="auto"/>
          <w:highlight w:val="none"/>
        </w:rPr>
      </w:pPr>
      <w:r>
        <w:rPr>
          <w:color w:val="auto"/>
          <w:highlight w:val="none"/>
        </w:rPr>
        <w:fldChar w:fldCharType="begin"/>
      </w:r>
      <w:r>
        <w:rPr>
          <w:color w:val="auto"/>
          <w:highlight w:val="none"/>
        </w:rPr>
        <w:instrText xml:space="preserve"> HYPERLINK \l "_Toc10731" </w:instrText>
      </w:r>
      <w:r>
        <w:rPr>
          <w:color w:val="auto"/>
          <w:highlight w:val="none"/>
        </w:rPr>
        <w:fldChar w:fldCharType="separate"/>
      </w:r>
      <w:r>
        <w:rPr>
          <w:color w:val="auto"/>
          <w:highlight w:val="none"/>
        </w:rPr>
        <w:t>5</w:t>
      </w:r>
      <w:r>
        <w:rPr>
          <w:rFonts w:hint="eastAsia" w:ascii="宋体" w:hAnsi="宋体"/>
          <w:color w:val="auto"/>
          <w:szCs w:val="21"/>
          <w:highlight w:val="none"/>
        </w:rPr>
        <w:t>.</w:t>
      </w:r>
      <w:r>
        <w:rPr>
          <w:rFonts w:hint="eastAsia"/>
          <w:color w:val="auto"/>
          <w:highlight w:val="none"/>
        </w:rPr>
        <w:t>5  模块单元短暂设计状况的验算</w:t>
      </w:r>
      <w:r>
        <w:rPr>
          <w:color w:val="auto"/>
          <w:highlight w:val="none"/>
        </w:rPr>
        <w:tab/>
      </w:r>
      <w:r>
        <w:rPr>
          <w:rFonts w:hint="eastAsia"/>
          <w:color w:val="auto"/>
          <w:highlight w:val="none"/>
        </w:rPr>
        <w:t>7</w:t>
      </w:r>
      <w:r>
        <w:rPr>
          <w:rFonts w:hint="eastAsia"/>
          <w:color w:val="auto"/>
          <w:highlight w:val="none"/>
        </w:rPr>
        <w:fldChar w:fldCharType="end"/>
      </w:r>
      <w:r>
        <w:rPr>
          <w:rFonts w:hint="eastAsia"/>
          <w:color w:val="auto"/>
          <w:highlight w:val="none"/>
        </w:rPr>
        <w:t>3</w:t>
      </w:r>
    </w:p>
    <w:p>
      <w:pPr>
        <w:pStyle w:val="20"/>
        <w:tabs>
          <w:tab w:val="right" w:leader="dot" w:pos="9264"/>
        </w:tabs>
        <w:rPr>
          <w:color w:val="auto"/>
          <w:highlight w:val="none"/>
        </w:rPr>
      </w:pPr>
      <w:r>
        <w:rPr>
          <w:color w:val="auto"/>
          <w:highlight w:val="none"/>
        </w:rPr>
        <w:fldChar w:fldCharType="begin"/>
      </w:r>
      <w:r>
        <w:rPr>
          <w:color w:val="auto"/>
          <w:highlight w:val="none"/>
        </w:rPr>
        <w:instrText xml:space="preserve"> HYPERLINK \l "_Toc17120" </w:instrText>
      </w:r>
      <w:r>
        <w:rPr>
          <w:color w:val="auto"/>
          <w:highlight w:val="none"/>
        </w:rPr>
        <w:fldChar w:fldCharType="separate"/>
      </w:r>
      <w:r>
        <w:rPr>
          <w:color w:val="auto"/>
          <w:highlight w:val="none"/>
        </w:rPr>
        <w:t>5</w:t>
      </w:r>
      <w:r>
        <w:rPr>
          <w:rFonts w:hint="eastAsia" w:ascii="宋体" w:hAnsi="宋体"/>
          <w:color w:val="auto"/>
          <w:szCs w:val="21"/>
          <w:highlight w:val="none"/>
        </w:rPr>
        <w:t>.</w:t>
      </w:r>
      <w:r>
        <w:rPr>
          <w:rFonts w:hint="eastAsia"/>
          <w:color w:val="auto"/>
          <w:highlight w:val="none"/>
        </w:rPr>
        <w:t>6  地基基础</w:t>
      </w:r>
      <w:r>
        <w:rPr>
          <w:color w:val="auto"/>
          <w:highlight w:val="none"/>
        </w:rPr>
        <w:tab/>
      </w:r>
      <w:r>
        <w:rPr>
          <w:rFonts w:hint="eastAsia"/>
          <w:color w:val="auto"/>
          <w:highlight w:val="none"/>
        </w:rPr>
        <w:t>7</w:t>
      </w:r>
      <w:r>
        <w:rPr>
          <w:rFonts w:hint="eastAsia"/>
          <w:color w:val="auto"/>
          <w:highlight w:val="none"/>
        </w:rPr>
        <w:fldChar w:fldCharType="end"/>
      </w:r>
      <w:r>
        <w:rPr>
          <w:rFonts w:hint="eastAsia"/>
          <w:color w:val="auto"/>
          <w:highlight w:val="none"/>
        </w:rPr>
        <w:t>5</w:t>
      </w:r>
    </w:p>
    <w:p>
      <w:pPr>
        <w:pStyle w:val="17"/>
        <w:tabs>
          <w:tab w:val="right" w:leader="dot" w:pos="9264"/>
          <w:tab w:val="clear" w:pos="1050"/>
          <w:tab w:val="clear" w:pos="13948"/>
        </w:tabs>
        <w:rPr>
          <w:color w:val="auto"/>
          <w:highlight w:val="none"/>
        </w:rPr>
      </w:pPr>
      <w:r>
        <w:rPr>
          <w:color w:val="auto"/>
          <w:highlight w:val="none"/>
        </w:rPr>
        <w:fldChar w:fldCharType="begin"/>
      </w:r>
      <w:r>
        <w:rPr>
          <w:color w:val="auto"/>
          <w:highlight w:val="none"/>
        </w:rPr>
        <w:instrText xml:space="preserve"> HYPERLINK \l "_Toc26046" </w:instrText>
      </w:r>
      <w:r>
        <w:rPr>
          <w:color w:val="auto"/>
          <w:highlight w:val="none"/>
        </w:rPr>
        <w:fldChar w:fldCharType="separate"/>
      </w:r>
      <w:r>
        <w:rPr>
          <w:rFonts w:hint="eastAsia"/>
          <w:color w:val="auto"/>
          <w:highlight w:val="none"/>
        </w:rPr>
        <w:t>6  设备与管线设计</w:t>
      </w:r>
      <w:r>
        <w:rPr>
          <w:color w:val="auto"/>
          <w:highlight w:val="none"/>
        </w:rPr>
        <w:tab/>
      </w:r>
      <w:r>
        <w:rPr>
          <w:rFonts w:hint="eastAsia"/>
          <w:color w:val="auto"/>
          <w:highlight w:val="none"/>
        </w:rPr>
        <w:t>7</w:t>
      </w:r>
      <w:r>
        <w:rPr>
          <w:rFonts w:hint="eastAsia"/>
          <w:color w:val="auto"/>
          <w:highlight w:val="none"/>
        </w:rPr>
        <w:fldChar w:fldCharType="end"/>
      </w:r>
      <w:r>
        <w:rPr>
          <w:rFonts w:hint="eastAsia"/>
          <w:color w:val="auto"/>
          <w:highlight w:val="none"/>
        </w:rPr>
        <w:t>6</w:t>
      </w:r>
    </w:p>
    <w:p>
      <w:pPr>
        <w:pStyle w:val="20"/>
        <w:tabs>
          <w:tab w:val="right" w:leader="dot" w:pos="9264"/>
        </w:tabs>
        <w:rPr>
          <w:color w:val="auto"/>
          <w:highlight w:val="none"/>
        </w:rPr>
      </w:pPr>
      <w:r>
        <w:rPr>
          <w:color w:val="auto"/>
          <w:highlight w:val="none"/>
        </w:rPr>
        <w:fldChar w:fldCharType="begin"/>
      </w:r>
      <w:r>
        <w:rPr>
          <w:color w:val="auto"/>
          <w:highlight w:val="none"/>
        </w:rPr>
        <w:instrText xml:space="preserve"> HYPERLINK \l "_Toc28550" </w:instrText>
      </w:r>
      <w:r>
        <w:rPr>
          <w:color w:val="auto"/>
          <w:highlight w:val="none"/>
        </w:rPr>
        <w:fldChar w:fldCharType="separate"/>
      </w:r>
      <w:r>
        <w:rPr>
          <w:rFonts w:hint="eastAsia"/>
          <w:color w:val="auto"/>
          <w:highlight w:val="none"/>
        </w:rPr>
        <w:t>6</w:t>
      </w:r>
      <w:r>
        <w:rPr>
          <w:rFonts w:hint="eastAsia" w:ascii="宋体" w:hAnsi="宋体"/>
          <w:color w:val="auto"/>
          <w:szCs w:val="21"/>
          <w:highlight w:val="none"/>
        </w:rPr>
        <w:t>.</w:t>
      </w:r>
      <w:r>
        <w:rPr>
          <w:color w:val="auto"/>
          <w:highlight w:val="none"/>
        </w:rPr>
        <w:t>1</w:t>
      </w:r>
      <w:r>
        <w:rPr>
          <w:rFonts w:hint="eastAsia"/>
          <w:color w:val="auto"/>
          <w:highlight w:val="none"/>
        </w:rPr>
        <w:t xml:space="preserve">  一般规定</w:t>
      </w:r>
      <w:r>
        <w:rPr>
          <w:color w:val="auto"/>
          <w:highlight w:val="none"/>
        </w:rPr>
        <w:tab/>
      </w:r>
      <w:r>
        <w:rPr>
          <w:rFonts w:hint="eastAsia"/>
          <w:color w:val="auto"/>
          <w:highlight w:val="none"/>
        </w:rPr>
        <w:t>7</w:t>
      </w:r>
      <w:r>
        <w:rPr>
          <w:rFonts w:hint="eastAsia"/>
          <w:color w:val="auto"/>
          <w:highlight w:val="none"/>
        </w:rPr>
        <w:fldChar w:fldCharType="end"/>
      </w:r>
      <w:r>
        <w:rPr>
          <w:rFonts w:hint="eastAsia"/>
          <w:color w:val="auto"/>
          <w:highlight w:val="none"/>
        </w:rPr>
        <w:t>6</w:t>
      </w:r>
    </w:p>
    <w:p>
      <w:pPr>
        <w:pStyle w:val="20"/>
        <w:tabs>
          <w:tab w:val="right" w:leader="dot" w:pos="9264"/>
        </w:tabs>
        <w:rPr>
          <w:color w:val="auto"/>
          <w:highlight w:val="none"/>
        </w:rPr>
      </w:pPr>
      <w:r>
        <w:rPr>
          <w:color w:val="auto"/>
          <w:highlight w:val="none"/>
        </w:rPr>
        <w:fldChar w:fldCharType="begin"/>
      </w:r>
      <w:r>
        <w:rPr>
          <w:color w:val="auto"/>
          <w:highlight w:val="none"/>
        </w:rPr>
        <w:instrText xml:space="preserve"> HYPERLINK \l "_Toc10754" </w:instrText>
      </w:r>
      <w:r>
        <w:rPr>
          <w:color w:val="auto"/>
          <w:highlight w:val="none"/>
        </w:rPr>
        <w:fldChar w:fldCharType="separate"/>
      </w:r>
      <w:r>
        <w:rPr>
          <w:rFonts w:hint="eastAsia"/>
          <w:color w:val="auto"/>
          <w:highlight w:val="none"/>
        </w:rPr>
        <w:t>6</w:t>
      </w:r>
      <w:r>
        <w:rPr>
          <w:rFonts w:hint="eastAsia" w:ascii="宋体" w:hAnsi="宋体"/>
          <w:color w:val="auto"/>
          <w:szCs w:val="21"/>
          <w:highlight w:val="none"/>
        </w:rPr>
        <w:t>.</w:t>
      </w:r>
      <w:r>
        <w:rPr>
          <w:color w:val="auto"/>
          <w:highlight w:val="none"/>
        </w:rPr>
        <w:t>2</w:t>
      </w:r>
      <w:r>
        <w:rPr>
          <w:rFonts w:hint="eastAsia"/>
          <w:color w:val="auto"/>
          <w:highlight w:val="none"/>
        </w:rPr>
        <w:t xml:space="preserve">  给水排水系统</w:t>
      </w:r>
      <w:r>
        <w:rPr>
          <w:color w:val="auto"/>
          <w:highlight w:val="none"/>
        </w:rPr>
        <w:tab/>
      </w:r>
      <w:r>
        <w:rPr>
          <w:rFonts w:hint="eastAsia"/>
          <w:color w:val="auto"/>
          <w:highlight w:val="none"/>
        </w:rPr>
        <w:t>7</w:t>
      </w:r>
      <w:r>
        <w:rPr>
          <w:rFonts w:hint="eastAsia"/>
          <w:color w:val="auto"/>
          <w:highlight w:val="none"/>
        </w:rPr>
        <w:fldChar w:fldCharType="end"/>
      </w:r>
      <w:r>
        <w:rPr>
          <w:rFonts w:hint="eastAsia"/>
          <w:color w:val="auto"/>
          <w:highlight w:val="none"/>
        </w:rPr>
        <w:t>6</w:t>
      </w:r>
    </w:p>
    <w:p>
      <w:pPr>
        <w:pStyle w:val="20"/>
        <w:tabs>
          <w:tab w:val="right" w:leader="dot" w:pos="9264"/>
        </w:tabs>
        <w:rPr>
          <w:color w:val="auto"/>
          <w:highlight w:val="none"/>
        </w:rPr>
      </w:pPr>
      <w:r>
        <w:rPr>
          <w:color w:val="auto"/>
          <w:highlight w:val="none"/>
        </w:rPr>
        <w:fldChar w:fldCharType="begin"/>
      </w:r>
      <w:r>
        <w:rPr>
          <w:color w:val="auto"/>
          <w:highlight w:val="none"/>
        </w:rPr>
        <w:instrText xml:space="preserve"> HYPERLINK \l "_Toc11785" </w:instrText>
      </w:r>
      <w:r>
        <w:rPr>
          <w:color w:val="auto"/>
          <w:highlight w:val="none"/>
        </w:rPr>
        <w:fldChar w:fldCharType="separate"/>
      </w:r>
      <w:r>
        <w:rPr>
          <w:rFonts w:hint="eastAsia"/>
          <w:color w:val="auto"/>
          <w:highlight w:val="none"/>
        </w:rPr>
        <w:t>6</w:t>
      </w:r>
      <w:r>
        <w:rPr>
          <w:rFonts w:hint="eastAsia" w:ascii="宋体" w:hAnsi="宋体"/>
          <w:color w:val="auto"/>
          <w:szCs w:val="21"/>
          <w:highlight w:val="none"/>
        </w:rPr>
        <w:t>.</w:t>
      </w:r>
      <w:r>
        <w:rPr>
          <w:color w:val="auto"/>
          <w:highlight w:val="none"/>
        </w:rPr>
        <w:t>3</w:t>
      </w:r>
      <w:r>
        <w:rPr>
          <w:rFonts w:hint="eastAsia"/>
          <w:color w:val="auto"/>
          <w:highlight w:val="none"/>
        </w:rPr>
        <w:t xml:space="preserve">  供暖、通风、空调及燃气系统</w:t>
      </w:r>
      <w:r>
        <w:rPr>
          <w:color w:val="auto"/>
          <w:highlight w:val="none"/>
        </w:rPr>
        <w:tab/>
      </w:r>
      <w:r>
        <w:rPr>
          <w:rFonts w:hint="eastAsia"/>
          <w:color w:val="auto"/>
          <w:highlight w:val="none"/>
        </w:rPr>
        <w:t>7</w:t>
      </w:r>
      <w:r>
        <w:rPr>
          <w:rFonts w:hint="eastAsia"/>
          <w:color w:val="auto"/>
          <w:highlight w:val="none"/>
        </w:rPr>
        <w:fldChar w:fldCharType="end"/>
      </w:r>
      <w:r>
        <w:rPr>
          <w:rFonts w:hint="eastAsia"/>
          <w:color w:val="auto"/>
          <w:highlight w:val="none"/>
        </w:rPr>
        <w:t>6</w:t>
      </w:r>
    </w:p>
    <w:p>
      <w:pPr>
        <w:pStyle w:val="20"/>
        <w:tabs>
          <w:tab w:val="right" w:leader="dot" w:pos="9264"/>
        </w:tabs>
        <w:rPr>
          <w:color w:val="auto"/>
          <w:highlight w:val="none"/>
        </w:rPr>
      </w:pPr>
      <w:r>
        <w:rPr>
          <w:color w:val="auto"/>
          <w:highlight w:val="none"/>
        </w:rPr>
        <w:fldChar w:fldCharType="begin"/>
      </w:r>
      <w:r>
        <w:rPr>
          <w:color w:val="auto"/>
          <w:highlight w:val="none"/>
        </w:rPr>
        <w:instrText xml:space="preserve"> HYPERLINK \l "_Toc5813" </w:instrText>
      </w:r>
      <w:r>
        <w:rPr>
          <w:color w:val="auto"/>
          <w:highlight w:val="none"/>
        </w:rPr>
        <w:fldChar w:fldCharType="separate"/>
      </w:r>
      <w:r>
        <w:rPr>
          <w:rFonts w:hint="eastAsia"/>
          <w:color w:val="auto"/>
          <w:highlight w:val="none"/>
        </w:rPr>
        <w:t>6</w:t>
      </w:r>
      <w:r>
        <w:rPr>
          <w:rFonts w:hint="eastAsia" w:ascii="宋体" w:hAnsi="宋体"/>
          <w:color w:val="auto"/>
          <w:szCs w:val="21"/>
          <w:highlight w:val="none"/>
        </w:rPr>
        <w:t>.</w:t>
      </w:r>
      <w:r>
        <w:rPr>
          <w:color w:val="auto"/>
          <w:highlight w:val="none"/>
        </w:rPr>
        <w:t>4</w:t>
      </w:r>
      <w:r>
        <w:rPr>
          <w:rFonts w:hint="eastAsia"/>
          <w:color w:val="auto"/>
          <w:highlight w:val="none"/>
        </w:rPr>
        <w:t xml:space="preserve">  电气系统</w:t>
      </w:r>
      <w:r>
        <w:rPr>
          <w:color w:val="auto"/>
          <w:highlight w:val="none"/>
        </w:rPr>
        <w:tab/>
      </w:r>
      <w:r>
        <w:rPr>
          <w:rFonts w:hint="eastAsia"/>
          <w:color w:val="auto"/>
          <w:highlight w:val="none"/>
        </w:rPr>
        <w:t>7</w:t>
      </w:r>
      <w:r>
        <w:rPr>
          <w:rFonts w:hint="eastAsia"/>
          <w:color w:val="auto"/>
          <w:highlight w:val="none"/>
        </w:rPr>
        <w:fldChar w:fldCharType="end"/>
      </w:r>
      <w:r>
        <w:rPr>
          <w:rFonts w:hint="eastAsia"/>
          <w:color w:val="auto"/>
          <w:highlight w:val="none"/>
        </w:rPr>
        <w:t>6</w:t>
      </w:r>
    </w:p>
    <w:p>
      <w:pPr>
        <w:pStyle w:val="17"/>
        <w:tabs>
          <w:tab w:val="right" w:leader="dot" w:pos="9264"/>
          <w:tab w:val="clear" w:pos="1050"/>
          <w:tab w:val="clear" w:pos="13948"/>
        </w:tabs>
        <w:rPr>
          <w:color w:val="auto"/>
          <w:highlight w:val="none"/>
        </w:rPr>
      </w:pPr>
      <w:r>
        <w:rPr>
          <w:color w:val="auto"/>
          <w:highlight w:val="none"/>
        </w:rPr>
        <w:fldChar w:fldCharType="begin"/>
      </w:r>
      <w:r>
        <w:rPr>
          <w:color w:val="auto"/>
          <w:highlight w:val="none"/>
        </w:rPr>
        <w:instrText xml:space="preserve"> HYPERLINK \l "_Toc4315" </w:instrText>
      </w:r>
      <w:r>
        <w:rPr>
          <w:color w:val="auto"/>
          <w:highlight w:val="none"/>
        </w:rPr>
        <w:fldChar w:fldCharType="separate"/>
      </w:r>
      <w:r>
        <w:rPr>
          <w:color w:val="auto"/>
          <w:highlight w:val="none"/>
        </w:rPr>
        <w:t>7</w:t>
      </w:r>
      <w:r>
        <w:rPr>
          <w:rFonts w:hint="eastAsia"/>
          <w:color w:val="auto"/>
          <w:highlight w:val="none"/>
        </w:rPr>
        <w:t xml:space="preserve">  内装设计</w:t>
      </w:r>
      <w:r>
        <w:rPr>
          <w:color w:val="auto"/>
          <w:highlight w:val="none"/>
        </w:rPr>
        <w:tab/>
      </w:r>
      <w:r>
        <w:rPr>
          <w:rFonts w:hint="eastAsia"/>
          <w:color w:val="auto"/>
          <w:highlight w:val="none"/>
        </w:rPr>
        <w:t>7</w:t>
      </w:r>
      <w:r>
        <w:rPr>
          <w:rFonts w:hint="eastAsia"/>
          <w:color w:val="auto"/>
          <w:highlight w:val="none"/>
        </w:rPr>
        <w:fldChar w:fldCharType="end"/>
      </w:r>
      <w:r>
        <w:rPr>
          <w:rFonts w:hint="eastAsia"/>
          <w:color w:val="auto"/>
          <w:highlight w:val="none"/>
        </w:rPr>
        <w:t>7</w:t>
      </w:r>
    </w:p>
    <w:p>
      <w:pPr>
        <w:pStyle w:val="20"/>
        <w:tabs>
          <w:tab w:val="right" w:leader="dot" w:pos="9264"/>
        </w:tabs>
        <w:rPr>
          <w:color w:val="auto"/>
          <w:highlight w:val="none"/>
        </w:rPr>
      </w:pPr>
      <w:r>
        <w:rPr>
          <w:color w:val="auto"/>
          <w:highlight w:val="none"/>
        </w:rPr>
        <w:fldChar w:fldCharType="begin"/>
      </w:r>
      <w:r>
        <w:rPr>
          <w:color w:val="auto"/>
          <w:highlight w:val="none"/>
        </w:rPr>
        <w:instrText xml:space="preserve"> HYPERLINK \l "_Toc3739" </w:instrText>
      </w:r>
      <w:r>
        <w:rPr>
          <w:color w:val="auto"/>
          <w:highlight w:val="none"/>
        </w:rPr>
        <w:fldChar w:fldCharType="separate"/>
      </w:r>
      <w:r>
        <w:rPr>
          <w:rFonts w:hint="eastAsia"/>
          <w:color w:val="auto"/>
          <w:highlight w:val="none"/>
        </w:rPr>
        <w:t>7</w:t>
      </w:r>
      <w:r>
        <w:rPr>
          <w:rFonts w:hint="eastAsia" w:ascii="宋体" w:hAnsi="宋体"/>
          <w:color w:val="auto"/>
          <w:szCs w:val="21"/>
          <w:highlight w:val="none"/>
        </w:rPr>
        <w:t>.</w:t>
      </w:r>
      <w:r>
        <w:rPr>
          <w:color w:val="auto"/>
          <w:highlight w:val="none"/>
        </w:rPr>
        <w:t>1</w:t>
      </w:r>
      <w:r>
        <w:rPr>
          <w:rFonts w:hint="eastAsia"/>
          <w:color w:val="auto"/>
          <w:highlight w:val="none"/>
        </w:rPr>
        <w:t xml:space="preserve">  一般规定</w:t>
      </w:r>
      <w:r>
        <w:rPr>
          <w:color w:val="auto"/>
          <w:highlight w:val="none"/>
        </w:rPr>
        <w:tab/>
      </w:r>
      <w:r>
        <w:rPr>
          <w:rFonts w:hint="eastAsia"/>
          <w:color w:val="auto"/>
          <w:highlight w:val="none"/>
        </w:rPr>
        <w:t>7</w:t>
      </w:r>
      <w:r>
        <w:rPr>
          <w:rFonts w:hint="eastAsia"/>
          <w:color w:val="auto"/>
          <w:highlight w:val="none"/>
        </w:rPr>
        <w:fldChar w:fldCharType="end"/>
      </w:r>
      <w:r>
        <w:rPr>
          <w:rFonts w:hint="eastAsia"/>
          <w:color w:val="auto"/>
          <w:highlight w:val="none"/>
        </w:rPr>
        <w:t>7</w:t>
      </w:r>
    </w:p>
    <w:p>
      <w:pPr>
        <w:pStyle w:val="20"/>
        <w:tabs>
          <w:tab w:val="right" w:leader="dot" w:pos="9264"/>
        </w:tabs>
        <w:rPr>
          <w:color w:val="auto"/>
          <w:highlight w:val="none"/>
        </w:rPr>
      </w:pPr>
      <w:r>
        <w:rPr>
          <w:color w:val="auto"/>
          <w:highlight w:val="none"/>
        </w:rPr>
        <w:fldChar w:fldCharType="begin"/>
      </w:r>
      <w:r>
        <w:rPr>
          <w:color w:val="auto"/>
          <w:highlight w:val="none"/>
        </w:rPr>
        <w:instrText xml:space="preserve"> HYPERLINK \l "_Toc30392" </w:instrText>
      </w:r>
      <w:r>
        <w:rPr>
          <w:color w:val="auto"/>
          <w:highlight w:val="none"/>
        </w:rPr>
        <w:fldChar w:fldCharType="separate"/>
      </w:r>
      <w:r>
        <w:rPr>
          <w:rFonts w:hint="eastAsia"/>
          <w:color w:val="auto"/>
          <w:highlight w:val="none"/>
        </w:rPr>
        <w:t>7</w:t>
      </w:r>
      <w:r>
        <w:rPr>
          <w:rFonts w:hint="eastAsia" w:ascii="宋体" w:hAnsi="宋体"/>
          <w:color w:val="auto"/>
          <w:szCs w:val="21"/>
          <w:highlight w:val="none"/>
        </w:rPr>
        <w:t>.</w:t>
      </w:r>
      <w:r>
        <w:rPr>
          <w:rFonts w:hint="eastAsia"/>
          <w:color w:val="auto"/>
          <w:highlight w:val="none"/>
        </w:rPr>
        <w:t>2  内装系统</w:t>
      </w:r>
      <w:r>
        <w:rPr>
          <w:color w:val="auto"/>
          <w:highlight w:val="none"/>
        </w:rPr>
        <w:tab/>
      </w:r>
      <w:r>
        <w:rPr>
          <w:rFonts w:hint="eastAsia"/>
          <w:color w:val="auto"/>
          <w:highlight w:val="none"/>
        </w:rPr>
        <w:t>7</w:t>
      </w:r>
      <w:r>
        <w:rPr>
          <w:rFonts w:hint="eastAsia"/>
          <w:color w:val="auto"/>
          <w:highlight w:val="none"/>
        </w:rPr>
        <w:fldChar w:fldCharType="end"/>
      </w:r>
      <w:r>
        <w:rPr>
          <w:rFonts w:hint="eastAsia"/>
          <w:color w:val="auto"/>
          <w:highlight w:val="none"/>
        </w:rPr>
        <w:t>7</w:t>
      </w:r>
    </w:p>
    <w:p>
      <w:pPr>
        <w:pStyle w:val="17"/>
        <w:tabs>
          <w:tab w:val="right" w:leader="dot" w:pos="9264"/>
          <w:tab w:val="clear" w:pos="1050"/>
          <w:tab w:val="clear" w:pos="13948"/>
        </w:tabs>
        <w:rPr>
          <w:color w:val="auto"/>
          <w:highlight w:val="none"/>
        </w:rPr>
      </w:pPr>
      <w:r>
        <w:rPr>
          <w:color w:val="auto"/>
          <w:highlight w:val="none"/>
        </w:rPr>
        <w:fldChar w:fldCharType="begin"/>
      </w:r>
      <w:r>
        <w:rPr>
          <w:color w:val="auto"/>
          <w:highlight w:val="none"/>
        </w:rPr>
        <w:instrText xml:space="preserve"> HYPERLINK \l "_Toc7880" </w:instrText>
      </w:r>
      <w:r>
        <w:rPr>
          <w:color w:val="auto"/>
          <w:highlight w:val="none"/>
        </w:rPr>
        <w:fldChar w:fldCharType="separate"/>
      </w:r>
      <w:r>
        <w:rPr>
          <w:color w:val="auto"/>
          <w:highlight w:val="none"/>
        </w:rPr>
        <w:t>8</w:t>
      </w:r>
      <w:r>
        <w:rPr>
          <w:rFonts w:hint="eastAsia"/>
          <w:color w:val="auto"/>
          <w:highlight w:val="none"/>
        </w:rPr>
        <w:t xml:space="preserve">  制造与运输</w:t>
      </w:r>
      <w:r>
        <w:rPr>
          <w:color w:val="auto"/>
          <w:highlight w:val="none"/>
        </w:rPr>
        <w:tab/>
      </w:r>
      <w:r>
        <w:rPr>
          <w:rFonts w:hint="eastAsia"/>
          <w:color w:val="auto"/>
          <w:highlight w:val="none"/>
        </w:rPr>
        <w:t>7</w:t>
      </w:r>
      <w:r>
        <w:rPr>
          <w:rFonts w:hint="eastAsia"/>
          <w:color w:val="auto"/>
          <w:highlight w:val="none"/>
        </w:rPr>
        <w:fldChar w:fldCharType="end"/>
      </w:r>
      <w:r>
        <w:rPr>
          <w:rFonts w:hint="eastAsia"/>
          <w:color w:val="auto"/>
          <w:highlight w:val="none"/>
        </w:rPr>
        <w:t>8</w:t>
      </w:r>
    </w:p>
    <w:p>
      <w:pPr>
        <w:pStyle w:val="20"/>
        <w:tabs>
          <w:tab w:val="right" w:leader="dot" w:pos="9264"/>
        </w:tabs>
        <w:rPr>
          <w:color w:val="auto"/>
          <w:highlight w:val="none"/>
        </w:rPr>
      </w:pPr>
      <w:r>
        <w:rPr>
          <w:color w:val="auto"/>
          <w:highlight w:val="none"/>
        </w:rPr>
        <w:fldChar w:fldCharType="begin"/>
      </w:r>
      <w:r>
        <w:rPr>
          <w:color w:val="auto"/>
          <w:highlight w:val="none"/>
        </w:rPr>
        <w:instrText xml:space="preserve"> HYPERLINK \l "_Toc21515" </w:instrText>
      </w:r>
      <w:r>
        <w:rPr>
          <w:color w:val="auto"/>
          <w:highlight w:val="none"/>
        </w:rPr>
        <w:fldChar w:fldCharType="separate"/>
      </w:r>
      <w:r>
        <w:rPr>
          <w:rFonts w:hint="eastAsia"/>
          <w:color w:val="auto"/>
          <w:highlight w:val="none"/>
        </w:rPr>
        <w:t>8</w:t>
      </w:r>
      <w:r>
        <w:rPr>
          <w:rFonts w:hint="eastAsia" w:ascii="宋体" w:hAnsi="宋体"/>
          <w:color w:val="auto"/>
          <w:szCs w:val="21"/>
          <w:highlight w:val="none"/>
        </w:rPr>
        <w:t>.</w:t>
      </w:r>
      <w:r>
        <w:rPr>
          <w:color w:val="auto"/>
          <w:highlight w:val="none"/>
        </w:rPr>
        <w:t>1</w:t>
      </w:r>
      <w:r>
        <w:rPr>
          <w:rFonts w:hint="eastAsia"/>
          <w:color w:val="auto"/>
          <w:highlight w:val="none"/>
        </w:rPr>
        <w:t xml:space="preserve">  一般规定</w:t>
      </w:r>
      <w:r>
        <w:rPr>
          <w:color w:val="auto"/>
          <w:highlight w:val="none"/>
        </w:rPr>
        <w:tab/>
      </w:r>
      <w:r>
        <w:rPr>
          <w:rFonts w:hint="eastAsia"/>
          <w:color w:val="auto"/>
          <w:highlight w:val="none"/>
        </w:rPr>
        <w:t>7</w:t>
      </w:r>
      <w:r>
        <w:rPr>
          <w:rFonts w:hint="eastAsia"/>
          <w:color w:val="auto"/>
          <w:highlight w:val="none"/>
        </w:rPr>
        <w:fldChar w:fldCharType="end"/>
      </w:r>
      <w:r>
        <w:rPr>
          <w:rFonts w:hint="eastAsia"/>
          <w:color w:val="auto"/>
          <w:highlight w:val="none"/>
        </w:rPr>
        <w:t>8</w:t>
      </w:r>
    </w:p>
    <w:p>
      <w:pPr>
        <w:pStyle w:val="20"/>
        <w:tabs>
          <w:tab w:val="right" w:leader="dot" w:pos="9264"/>
        </w:tabs>
        <w:rPr>
          <w:color w:val="auto"/>
          <w:highlight w:val="none"/>
        </w:rPr>
      </w:pPr>
      <w:r>
        <w:rPr>
          <w:color w:val="auto"/>
          <w:highlight w:val="none"/>
        </w:rPr>
        <w:fldChar w:fldCharType="begin"/>
      </w:r>
      <w:r>
        <w:rPr>
          <w:color w:val="auto"/>
          <w:highlight w:val="none"/>
        </w:rPr>
        <w:instrText xml:space="preserve"> HYPERLINK \l "_Toc16003" </w:instrText>
      </w:r>
      <w:r>
        <w:rPr>
          <w:color w:val="auto"/>
          <w:highlight w:val="none"/>
        </w:rPr>
        <w:fldChar w:fldCharType="separate"/>
      </w:r>
      <w:r>
        <w:rPr>
          <w:color w:val="auto"/>
          <w:highlight w:val="none"/>
        </w:rPr>
        <w:t>8</w:t>
      </w:r>
      <w:r>
        <w:rPr>
          <w:rFonts w:hint="eastAsia" w:ascii="宋体" w:hAnsi="宋体"/>
          <w:color w:val="auto"/>
          <w:szCs w:val="21"/>
          <w:highlight w:val="none"/>
        </w:rPr>
        <w:t>.</w:t>
      </w:r>
      <w:r>
        <w:rPr>
          <w:rFonts w:hint="eastAsia"/>
          <w:color w:val="auto"/>
          <w:highlight w:val="none"/>
        </w:rPr>
        <w:t>3  成型、养护及脱模</w:t>
      </w:r>
      <w:r>
        <w:rPr>
          <w:color w:val="auto"/>
          <w:highlight w:val="none"/>
        </w:rPr>
        <w:tab/>
      </w:r>
      <w:r>
        <w:rPr>
          <w:rFonts w:hint="eastAsia"/>
          <w:color w:val="auto"/>
          <w:highlight w:val="none"/>
        </w:rPr>
        <w:t>7</w:t>
      </w:r>
      <w:r>
        <w:rPr>
          <w:rFonts w:hint="eastAsia"/>
          <w:color w:val="auto"/>
          <w:highlight w:val="none"/>
        </w:rPr>
        <w:fldChar w:fldCharType="end"/>
      </w:r>
      <w:r>
        <w:rPr>
          <w:rFonts w:hint="eastAsia"/>
          <w:color w:val="auto"/>
          <w:highlight w:val="none"/>
        </w:rPr>
        <w:t>8</w:t>
      </w:r>
    </w:p>
    <w:p>
      <w:pPr>
        <w:pStyle w:val="20"/>
        <w:tabs>
          <w:tab w:val="right" w:leader="dot" w:pos="9264"/>
        </w:tabs>
        <w:rPr>
          <w:color w:val="auto"/>
          <w:highlight w:val="none"/>
        </w:rPr>
      </w:pPr>
      <w:r>
        <w:rPr>
          <w:color w:val="auto"/>
          <w:highlight w:val="none"/>
        </w:rPr>
        <w:fldChar w:fldCharType="begin"/>
      </w:r>
      <w:r>
        <w:rPr>
          <w:color w:val="auto"/>
          <w:highlight w:val="none"/>
        </w:rPr>
        <w:instrText xml:space="preserve"> HYPERLINK \l "_Toc15103" </w:instrText>
      </w:r>
      <w:r>
        <w:rPr>
          <w:color w:val="auto"/>
          <w:highlight w:val="none"/>
        </w:rPr>
        <w:fldChar w:fldCharType="separate"/>
      </w:r>
      <w:r>
        <w:rPr>
          <w:rFonts w:hint="eastAsia"/>
          <w:color w:val="auto"/>
          <w:highlight w:val="none"/>
        </w:rPr>
        <w:t>8</w:t>
      </w:r>
      <w:r>
        <w:rPr>
          <w:rFonts w:hint="eastAsia" w:ascii="宋体" w:hAnsi="宋体"/>
          <w:color w:val="auto"/>
          <w:szCs w:val="21"/>
          <w:highlight w:val="none"/>
        </w:rPr>
        <w:t>.</w:t>
      </w:r>
      <w:r>
        <w:rPr>
          <w:rFonts w:hint="eastAsia"/>
          <w:color w:val="auto"/>
          <w:highlight w:val="none"/>
        </w:rPr>
        <w:t xml:space="preserve">5  </w:t>
      </w:r>
      <w:r>
        <w:rPr>
          <w:color w:val="auto"/>
          <w:highlight w:val="none"/>
        </w:rPr>
        <w:t>出厂检验及资料交付</w:t>
      </w:r>
      <w:r>
        <w:rPr>
          <w:color w:val="auto"/>
          <w:highlight w:val="none"/>
        </w:rPr>
        <w:tab/>
      </w:r>
      <w:r>
        <w:rPr>
          <w:rFonts w:hint="eastAsia"/>
          <w:color w:val="auto"/>
          <w:highlight w:val="none"/>
        </w:rPr>
        <w:t>7</w:t>
      </w:r>
      <w:r>
        <w:rPr>
          <w:rFonts w:hint="eastAsia"/>
          <w:color w:val="auto"/>
          <w:highlight w:val="none"/>
        </w:rPr>
        <w:fldChar w:fldCharType="end"/>
      </w:r>
      <w:r>
        <w:rPr>
          <w:rFonts w:hint="eastAsia"/>
          <w:color w:val="auto"/>
          <w:highlight w:val="none"/>
        </w:rPr>
        <w:t>8</w:t>
      </w:r>
    </w:p>
    <w:p>
      <w:pPr>
        <w:pStyle w:val="20"/>
        <w:tabs>
          <w:tab w:val="right" w:leader="dot" w:pos="9264"/>
        </w:tabs>
        <w:rPr>
          <w:color w:val="auto"/>
          <w:highlight w:val="none"/>
        </w:rPr>
      </w:pPr>
      <w:r>
        <w:rPr>
          <w:color w:val="auto"/>
          <w:highlight w:val="none"/>
        </w:rPr>
        <w:fldChar w:fldCharType="begin"/>
      </w:r>
      <w:r>
        <w:rPr>
          <w:color w:val="auto"/>
          <w:highlight w:val="none"/>
        </w:rPr>
        <w:instrText xml:space="preserve"> HYPERLINK \l "_Toc20604" </w:instrText>
      </w:r>
      <w:r>
        <w:rPr>
          <w:color w:val="auto"/>
          <w:highlight w:val="none"/>
        </w:rPr>
        <w:fldChar w:fldCharType="separate"/>
      </w:r>
      <w:r>
        <w:rPr>
          <w:color w:val="auto"/>
          <w:highlight w:val="none"/>
        </w:rPr>
        <w:t>8</w:t>
      </w:r>
      <w:r>
        <w:rPr>
          <w:rFonts w:hint="eastAsia" w:ascii="宋体" w:hAnsi="宋体"/>
          <w:color w:val="auto"/>
          <w:szCs w:val="21"/>
          <w:highlight w:val="none"/>
        </w:rPr>
        <w:t>.</w:t>
      </w:r>
      <w:r>
        <w:rPr>
          <w:rFonts w:hint="eastAsia"/>
          <w:color w:val="auto"/>
          <w:highlight w:val="none"/>
        </w:rPr>
        <w:t>6  吊装、运输、存放及防护</w:t>
      </w:r>
      <w:r>
        <w:rPr>
          <w:color w:val="auto"/>
          <w:highlight w:val="none"/>
        </w:rPr>
        <w:tab/>
      </w:r>
      <w:r>
        <w:rPr>
          <w:rFonts w:hint="eastAsia"/>
          <w:color w:val="auto"/>
          <w:highlight w:val="none"/>
        </w:rPr>
        <w:t>7</w:t>
      </w:r>
      <w:r>
        <w:rPr>
          <w:rFonts w:hint="eastAsia"/>
          <w:color w:val="auto"/>
          <w:highlight w:val="none"/>
        </w:rPr>
        <w:fldChar w:fldCharType="end"/>
      </w:r>
      <w:r>
        <w:rPr>
          <w:rFonts w:hint="eastAsia"/>
          <w:color w:val="auto"/>
          <w:highlight w:val="none"/>
        </w:rPr>
        <w:t>8</w:t>
      </w:r>
    </w:p>
    <w:p>
      <w:pPr>
        <w:pStyle w:val="17"/>
        <w:tabs>
          <w:tab w:val="right" w:leader="dot" w:pos="9264"/>
          <w:tab w:val="clear" w:pos="1050"/>
          <w:tab w:val="clear" w:pos="13948"/>
        </w:tabs>
        <w:rPr>
          <w:color w:val="auto"/>
          <w:highlight w:val="none"/>
        </w:rPr>
      </w:pPr>
      <w:r>
        <w:rPr>
          <w:color w:val="auto"/>
          <w:highlight w:val="none"/>
        </w:rPr>
        <w:fldChar w:fldCharType="begin"/>
      </w:r>
      <w:r>
        <w:rPr>
          <w:color w:val="auto"/>
          <w:highlight w:val="none"/>
        </w:rPr>
        <w:instrText xml:space="preserve"> HYPERLINK \l "_Toc20984" </w:instrText>
      </w:r>
      <w:r>
        <w:rPr>
          <w:color w:val="auto"/>
          <w:highlight w:val="none"/>
        </w:rPr>
        <w:fldChar w:fldCharType="separate"/>
      </w:r>
      <w:r>
        <w:rPr>
          <w:rFonts w:hint="eastAsia"/>
          <w:color w:val="auto"/>
          <w:highlight w:val="none"/>
        </w:rPr>
        <w:t>9</w:t>
      </w:r>
      <w:r>
        <w:rPr>
          <w:color w:val="auto"/>
          <w:highlight w:val="none"/>
        </w:rPr>
        <w:t xml:space="preserve"> </w:t>
      </w:r>
      <w:r>
        <w:rPr>
          <w:rFonts w:hint="eastAsia"/>
          <w:color w:val="auto"/>
          <w:highlight w:val="none"/>
        </w:rPr>
        <w:t xml:space="preserve"> 安装与连接</w:t>
      </w:r>
      <w:r>
        <w:rPr>
          <w:color w:val="auto"/>
          <w:highlight w:val="none"/>
        </w:rPr>
        <w:tab/>
      </w:r>
      <w:r>
        <w:rPr>
          <w:rFonts w:hint="eastAsia"/>
          <w:color w:val="auto"/>
          <w:highlight w:val="none"/>
        </w:rPr>
        <w:t>7</w:t>
      </w:r>
      <w:r>
        <w:rPr>
          <w:rFonts w:hint="eastAsia"/>
          <w:color w:val="auto"/>
          <w:highlight w:val="none"/>
        </w:rPr>
        <w:fldChar w:fldCharType="end"/>
      </w:r>
      <w:r>
        <w:rPr>
          <w:rFonts w:hint="eastAsia"/>
          <w:color w:val="auto"/>
          <w:highlight w:val="none"/>
        </w:rPr>
        <w:t>9</w:t>
      </w:r>
    </w:p>
    <w:p>
      <w:pPr>
        <w:pStyle w:val="20"/>
        <w:tabs>
          <w:tab w:val="right" w:leader="dot" w:pos="9264"/>
        </w:tabs>
        <w:rPr>
          <w:color w:val="auto"/>
          <w:highlight w:val="none"/>
        </w:rPr>
      </w:pPr>
      <w:r>
        <w:rPr>
          <w:color w:val="auto"/>
          <w:highlight w:val="none"/>
        </w:rPr>
        <w:fldChar w:fldCharType="begin"/>
      </w:r>
      <w:r>
        <w:rPr>
          <w:color w:val="auto"/>
          <w:highlight w:val="none"/>
        </w:rPr>
        <w:instrText xml:space="preserve"> HYPERLINK \l "_Toc3733" </w:instrText>
      </w:r>
      <w:r>
        <w:rPr>
          <w:color w:val="auto"/>
          <w:highlight w:val="none"/>
        </w:rPr>
        <w:fldChar w:fldCharType="separate"/>
      </w:r>
      <w:r>
        <w:rPr>
          <w:rFonts w:hint="eastAsia"/>
          <w:color w:val="auto"/>
          <w:highlight w:val="none"/>
        </w:rPr>
        <w:t>9</w:t>
      </w:r>
      <w:r>
        <w:rPr>
          <w:rFonts w:hint="eastAsia" w:ascii="宋体" w:hAnsi="宋体" w:cs="宋体"/>
          <w:color w:val="auto"/>
          <w:highlight w:val="none"/>
        </w:rPr>
        <w:t>.</w:t>
      </w:r>
      <w:r>
        <w:rPr>
          <w:rFonts w:hint="eastAsia"/>
          <w:color w:val="auto"/>
          <w:highlight w:val="none"/>
        </w:rPr>
        <w:t>1  一般规定</w:t>
      </w:r>
      <w:r>
        <w:rPr>
          <w:color w:val="auto"/>
          <w:highlight w:val="none"/>
        </w:rPr>
        <w:tab/>
      </w:r>
      <w:r>
        <w:rPr>
          <w:color w:val="auto"/>
          <w:highlight w:val="none"/>
        </w:rPr>
        <w:fldChar w:fldCharType="end"/>
      </w:r>
      <w:r>
        <w:rPr>
          <w:rFonts w:hint="eastAsia"/>
          <w:color w:val="auto"/>
          <w:highlight w:val="none"/>
        </w:rPr>
        <w:t>79</w:t>
      </w:r>
    </w:p>
    <w:p>
      <w:pPr>
        <w:pStyle w:val="20"/>
        <w:tabs>
          <w:tab w:val="right" w:leader="dot" w:pos="9264"/>
        </w:tabs>
        <w:rPr>
          <w:color w:val="auto"/>
          <w:highlight w:val="none"/>
        </w:rPr>
      </w:pPr>
      <w:r>
        <w:rPr>
          <w:color w:val="auto"/>
          <w:highlight w:val="none"/>
        </w:rPr>
        <w:fldChar w:fldCharType="begin"/>
      </w:r>
      <w:r>
        <w:rPr>
          <w:color w:val="auto"/>
          <w:highlight w:val="none"/>
        </w:rPr>
        <w:instrText xml:space="preserve"> HYPERLINK \l "_Toc16572" </w:instrText>
      </w:r>
      <w:r>
        <w:rPr>
          <w:color w:val="auto"/>
          <w:highlight w:val="none"/>
        </w:rPr>
        <w:fldChar w:fldCharType="separate"/>
      </w:r>
      <w:r>
        <w:rPr>
          <w:rFonts w:hint="eastAsia"/>
          <w:color w:val="auto"/>
          <w:highlight w:val="none"/>
        </w:rPr>
        <w:t>9</w:t>
      </w:r>
      <w:r>
        <w:rPr>
          <w:rFonts w:hint="eastAsia" w:ascii="仿宋" w:hAnsi="仿宋" w:eastAsia="仿宋" w:cs="仿宋"/>
          <w:color w:val="auto"/>
          <w:highlight w:val="none"/>
        </w:rPr>
        <w:t>.</w:t>
      </w:r>
      <w:r>
        <w:rPr>
          <w:rFonts w:hint="eastAsia"/>
          <w:color w:val="auto"/>
          <w:highlight w:val="none"/>
        </w:rPr>
        <w:t>2</w:t>
      </w:r>
      <w:r>
        <w:rPr>
          <w:color w:val="auto"/>
          <w:highlight w:val="none"/>
        </w:rPr>
        <w:t xml:space="preserve">  </w:t>
      </w:r>
      <w:r>
        <w:rPr>
          <w:rFonts w:hint="eastAsia"/>
          <w:color w:val="auto"/>
          <w:highlight w:val="none"/>
        </w:rPr>
        <w:t>现场</w:t>
      </w:r>
      <w:r>
        <w:rPr>
          <w:color w:val="auto"/>
          <w:highlight w:val="none"/>
        </w:rPr>
        <w:t>安装</w:t>
      </w:r>
      <w:r>
        <w:rPr>
          <w:color w:val="auto"/>
          <w:highlight w:val="none"/>
        </w:rPr>
        <w:tab/>
      </w:r>
      <w:r>
        <w:rPr>
          <w:rFonts w:hint="eastAsia"/>
          <w:color w:val="auto"/>
          <w:highlight w:val="none"/>
        </w:rPr>
        <w:t>7</w:t>
      </w:r>
      <w:r>
        <w:rPr>
          <w:rFonts w:hint="eastAsia"/>
          <w:color w:val="auto"/>
          <w:highlight w:val="none"/>
        </w:rPr>
        <w:fldChar w:fldCharType="end"/>
      </w:r>
      <w:r>
        <w:rPr>
          <w:rFonts w:hint="eastAsia"/>
          <w:color w:val="auto"/>
          <w:highlight w:val="none"/>
        </w:rPr>
        <w:t>9</w:t>
      </w:r>
    </w:p>
    <w:p>
      <w:pPr>
        <w:pStyle w:val="17"/>
        <w:tabs>
          <w:tab w:val="right" w:leader="dot" w:pos="9264"/>
          <w:tab w:val="clear" w:pos="1050"/>
          <w:tab w:val="clear" w:pos="13948"/>
        </w:tabs>
        <w:rPr>
          <w:color w:val="auto"/>
          <w:highlight w:val="none"/>
        </w:rPr>
      </w:pPr>
      <w:r>
        <w:rPr>
          <w:color w:val="auto"/>
          <w:highlight w:val="none"/>
        </w:rPr>
        <w:fldChar w:fldCharType="begin"/>
      </w:r>
      <w:r>
        <w:rPr>
          <w:color w:val="auto"/>
          <w:highlight w:val="none"/>
        </w:rPr>
        <w:instrText xml:space="preserve"> HYPERLINK \l "_Toc20980" </w:instrText>
      </w:r>
      <w:r>
        <w:rPr>
          <w:color w:val="auto"/>
          <w:highlight w:val="none"/>
        </w:rPr>
        <w:fldChar w:fldCharType="separate"/>
      </w:r>
      <w:r>
        <w:rPr>
          <w:color w:val="auto"/>
          <w:highlight w:val="none"/>
        </w:rPr>
        <w:t>1</w:t>
      </w:r>
      <w:r>
        <w:rPr>
          <w:rFonts w:hint="eastAsia"/>
          <w:color w:val="auto"/>
          <w:highlight w:val="none"/>
        </w:rPr>
        <w:t>0  质量验收</w:t>
      </w:r>
      <w:r>
        <w:rPr>
          <w:color w:val="auto"/>
          <w:highlight w:val="none"/>
        </w:rPr>
        <w:tab/>
      </w:r>
      <w:r>
        <w:rPr>
          <w:rFonts w:hint="eastAsia"/>
          <w:color w:val="auto"/>
          <w:highlight w:val="none"/>
        </w:rPr>
        <w:t>8</w:t>
      </w:r>
      <w:r>
        <w:rPr>
          <w:rFonts w:hint="eastAsia"/>
          <w:color w:val="auto"/>
          <w:highlight w:val="none"/>
        </w:rPr>
        <w:fldChar w:fldCharType="end"/>
      </w:r>
      <w:r>
        <w:rPr>
          <w:rFonts w:hint="eastAsia"/>
          <w:color w:val="auto"/>
          <w:highlight w:val="none"/>
        </w:rPr>
        <w:t>0</w:t>
      </w:r>
    </w:p>
    <w:p>
      <w:pPr>
        <w:pStyle w:val="20"/>
        <w:tabs>
          <w:tab w:val="right" w:leader="dot" w:pos="9264"/>
        </w:tabs>
        <w:rPr>
          <w:color w:val="auto"/>
          <w:highlight w:val="none"/>
        </w:rPr>
      </w:pPr>
      <w:r>
        <w:rPr>
          <w:color w:val="auto"/>
          <w:highlight w:val="none"/>
        </w:rPr>
        <w:fldChar w:fldCharType="begin"/>
      </w:r>
      <w:r>
        <w:rPr>
          <w:color w:val="auto"/>
          <w:highlight w:val="none"/>
        </w:rPr>
        <w:instrText xml:space="preserve"> HYPERLINK \l "_Toc19585" </w:instrText>
      </w:r>
      <w:r>
        <w:rPr>
          <w:color w:val="auto"/>
          <w:highlight w:val="none"/>
        </w:rPr>
        <w:fldChar w:fldCharType="separate"/>
      </w:r>
      <w:r>
        <w:rPr>
          <w:color w:val="auto"/>
          <w:highlight w:val="none"/>
        </w:rPr>
        <w:t>1</w:t>
      </w:r>
      <w:r>
        <w:rPr>
          <w:rFonts w:hint="eastAsia"/>
          <w:color w:val="auto"/>
          <w:highlight w:val="none"/>
        </w:rPr>
        <w:t>0</w:t>
      </w:r>
      <w:r>
        <w:rPr>
          <w:rFonts w:hint="eastAsia" w:ascii="宋体" w:hAnsi="宋体"/>
          <w:color w:val="auto"/>
          <w:szCs w:val="21"/>
          <w:highlight w:val="none"/>
        </w:rPr>
        <w:t>.</w:t>
      </w:r>
      <w:r>
        <w:rPr>
          <w:color w:val="auto"/>
          <w:highlight w:val="none"/>
        </w:rPr>
        <w:t>1</w:t>
      </w:r>
      <w:r>
        <w:rPr>
          <w:rFonts w:hint="eastAsia"/>
          <w:color w:val="auto"/>
          <w:highlight w:val="none"/>
        </w:rPr>
        <w:t xml:space="preserve">  一般规定</w:t>
      </w:r>
      <w:r>
        <w:rPr>
          <w:color w:val="auto"/>
          <w:highlight w:val="none"/>
        </w:rPr>
        <w:tab/>
      </w:r>
      <w:r>
        <w:rPr>
          <w:rFonts w:hint="eastAsia"/>
          <w:color w:val="auto"/>
          <w:highlight w:val="none"/>
        </w:rPr>
        <w:t>8</w:t>
      </w:r>
      <w:r>
        <w:rPr>
          <w:rFonts w:hint="eastAsia"/>
          <w:color w:val="auto"/>
          <w:highlight w:val="none"/>
        </w:rPr>
        <w:fldChar w:fldCharType="end"/>
      </w:r>
      <w:r>
        <w:rPr>
          <w:rFonts w:hint="eastAsia"/>
          <w:color w:val="auto"/>
          <w:highlight w:val="none"/>
        </w:rPr>
        <w:t>0</w:t>
      </w:r>
    </w:p>
    <w:p>
      <w:pPr>
        <w:pStyle w:val="20"/>
        <w:tabs>
          <w:tab w:val="right" w:leader="dot" w:pos="9264"/>
        </w:tabs>
        <w:rPr>
          <w:color w:val="auto"/>
          <w:highlight w:val="none"/>
        </w:rPr>
      </w:pPr>
      <w:r>
        <w:rPr>
          <w:color w:val="auto"/>
          <w:highlight w:val="none"/>
        </w:rPr>
        <w:fldChar w:fldCharType="begin"/>
      </w:r>
      <w:r>
        <w:rPr>
          <w:color w:val="auto"/>
          <w:highlight w:val="none"/>
        </w:rPr>
        <w:instrText xml:space="preserve"> HYPERLINK \l "_Toc27805" </w:instrText>
      </w:r>
      <w:r>
        <w:rPr>
          <w:color w:val="auto"/>
          <w:highlight w:val="none"/>
        </w:rPr>
        <w:fldChar w:fldCharType="separate"/>
      </w:r>
      <w:r>
        <w:rPr>
          <w:color w:val="auto"/>
          <w:highlight w:val="none"/>
        </w:rPr>
        <w:t>1</w:t>
      </w:r>
      <w:r>
        <w:rPr>
          <w:rFonts w:hint="eastAsia"/>
          <w:color w:val="auto"/>
          <w:highlight w:val="none"/>
        </w:rPr>
        <w:t>0</w:t>
      </w:r>
      <w:r>
        <w:rPr>
          <w:rFonts w:hint="eastAsia" w:ascii="宋体" w:hAnsi="宋体"/>
          <w:color w:val="auto"/>
          <w:szCs w:val="21"/>
          <w:highlight w:val="none"/>
        </w:rPr>
        <w:t>.</w:t>
      </w:r>
      <w:r>
        <w:rPr>
          <w:rFonts w:hint="eastAsia"/>
          <w:color w:val="auto"/>
          <w:highlight w:val="none"/>
        </w:rPr>
        <w:t>2  模块单元进场验收</w:t>
      </w:r>
      <w:r>
        <w:rPr>
          <w:color w:val="auto"/>
          <w:highlight w:val="none"/>
        </w:rPr>
        <w:tab/>
      </w:r>
      <w:r>
        <w:rPr>
          <w:rFonts w:hint="eastAsia"/>
          <w:color w:val="auto"/>
          <w:highlight w:val="none"/>
        </w:rPr>
        <w:t>8</w:t>
      </w:r>
      <w:r>
        <w:rPr>
          <w:rFonts w:hint="eastAsia"/>
          <w:color w:val="auto"/>
          <w:highlight w:val="none"/>
        </w:rPr>
        <w:fldChar w:fldCharType="end"/>
      </w:r>
      <w:r>
        <w:rPr>
          <w:rFonts w:hint="eastAsia"/>
          <w:color w:val="auto"/>
          <w:highlight w:val="none"/>
        </w:rPr>
        <w:t>0</w:t>
      </w:r>
    </w:p>
    <w:p>
      <w:pPr>
        <w:pStyle w:val="20"/>
        <w:tabs>
          <w:tab w:val="right" w:leader="dot" w:pos="9264"/>
        </w:tabs>
        <w:rPr>
          <w:color w:val="auto"/>
          <w:highlight w:val="none"/>
        </w:rPr>
      </w:pPr>
      <w:r>
        <w:rPr>
          <w:color w:val="auto"/>
          <w:highlight w:val="none"/>
        </w:rPr>
        <w:fldChar w:fldCharType="begin"/>
      </w:r>
      <w:r>
        <w:rPr>
          <w:color w:val="auto"/>
          <w:highlight w:val="none"/>
        </w:rPr>
        <w:instrText xml:space="preserve"> HYPERLINK \l "_Toc7795" </w:instrText>
      </w:r>
      <w:r>
        <w:rPr>
          <w:color w:val="auto"/>
          <w:highlight w:val="none"/>
        </w:rPr>
        <w:fldChar w:fldCharType="separate"/>
      </w:r>
      <w:r>
        <w:rPr>
          <w:color w:val="auto"/>
          <w:highlight w:val="none"/>
        </w:rPr>
        <w:t>1</w:t>
      </w:r>
      <w:r>
        <w:rPr>
          <w:rFonts w:hint="eastAsia"/>
          <w:color w:val="auto"/>
          <w:highlight w:val="none"/>
        </w:rPr>
        <w:t>0</w:t>
      </w:r>
      <w:r>
        <w:rPr>
          <w:rFonts w:hint="eastAsia" w:ascii="宋体" w:hAnsi="宋体"/>
          <w:color w:val="auto"/>
          <w:szCs w:val="21"/>
          <w:highlight w:val="none"/>
        </w:rPr>
        <w:t>.</w:t>
      </w:r>
      <w:r>
        <w:rPr>
          <w:rFonts w:hint="eastAsia"/>
          <w:color w:val="auto"/>
          <w:highlight w:val="none"/>
        </w:rPr>
        <w:t>3  模块单元安装与连接</w:t>
      </w:r>
      <w:r>
        <w:rPr>
          <w:color w:val="auto"/>
          <w:highlight w:val="none"/>
        </w:rPr>
        <w:tab/>
      </w:r>
      <w:r>
        <w:rPr>
          <w:rFonts w:hint="eastAsia"/>
          <w:color w:val="auto"/>
          <w:highlight w:val="none"/>
        </w:rPr>
        <w:t>8</w:t>
      </w:r>
      <w:r>
        <w:rPr>
          <w:rFonts w:hint="eastAsia"/>
          <w:color w:val="auto"/>
          <w:highlight w:val="none"/>
        </w:rPr>
        <w:fldChar w:fldCharType="end"/>
      </w:r>
      <w:r>
        <w:rPr>
          <w:rFonts w:hint="eastAsia"/>
          <w:color w:val="auto"/>
          <w:highlight w:val="none"/>
        </w:rPr>
        <w:t>0</w:t>
      </w:r>
    </w:p>
    <w:p>
      <w:pPr>
        <w:pStyle w:val="17"/>
        <w:tabs>
          <w:tab w:val="right" w:leader="dot" w:pos="9264"/>
          <w:tab w:val="clear" w:pos="1050"/>
          <w:tab w:val="clear" w:pos="13948"/>
        </w:tabs>
        <w:rPr>
          <w:color w:val="auto"/>
          <w:highlight w:val="none"/>
        </w:rPr>
      </w:pPr>
      <w:r>
        <w:rPr>
          <w:color w:val="auto"/>
          <w:highlight w:val="none"/>
        </w:rPr>
        <w:fldChar w:fldCharType="begin"/>
      </w:r>
      <w:r>
        <w:rPr>
          <w:color w:val="auto"/>
          <w:highlight w:val="none"/>
        </w:rPr>
        <w:instrText xml:space="preserve"> HYPERLINK \l "_Toc21089" </w:instrText>
      </w:r>
      <w:r>
        <w:rPr>
          <w:color w:val="auto"/>
          <w:highlight w:val="none"/>
        </w:rPr>
        <w:fldChar w:fldCharType="separate"/>
      </w:r>
      <w:r>
        <w:rPr>
          <w:color w:val="auto"/>
          <w:highlight w:val="none"/>
        </w:rPr>
        <w:t>12</w:t>
      </w:r>
      <w:r>
        <w:rPr>
          <w:rFonts w:hint="eastAsia"/>
          <w:color w:val="auto"/>
          <w:highlight w:val="none"/>
        </w:rPr>
        <w:t xml:space="preserve">  智能建造</w:t>
      </w:r>
      <w:r>
        <w:rPr>
          <w:color w:val="auto"/>
          <w:highlight w:val="none"/>
        </w:rPr>
        <w:tab/>
      </w:r>
      <w:r>
        <w:rPr>
          <w:rFonts w:hint="eastAsia"/>
          <w:color w:val="auto"/>
          <w:highlight w:val="none"/>
        </w:rPr>
        <w:t>8</w:t>
      </w:r>
      <w:r>
        <w:rPr>
          <w:rFonts w:hint="eastAsia"/>
          <w:color w:val="auto"/>
          <w:highlight w:val="none"/>
        </w:rPr>
        <w:fldChar w:fldCharType="end"/>
      </w:r>
      <w:r>
        <w:rPr>
          <w:rFonts w:hint="eastAsia"/>
          <w:color w:val="auto"/>
          <w:highlight w:val="none"/>
        </w:rPr>
        <w:t>1</w:t>
      </w:r>
    </w:p>
    <w:p>
      <w:pPr>
        <w:pStyle w:val="20"/>
        <w:tabs>
          <w:tab w:val="right" w:leader="dot" w:pos="9264"/>
        </w:tabs>
        <w:rPr>
          <w:color w:val="auto"/>
          <w:highlight w:val="none"/>
        </w:rPr>
      </w:pPr>
      <w:r>
        <w:rPr>
          <w:color w:val="auto"/>
          <w:highlight w:val="none"/>
        </w:rPr>
        <w:fldChar w:fldCharType="begin"/>
      </w:r>
      <w:r>
        <w:rPr>
          <w:color w:val="auto"/>
          <w:highlight w:val="none"/>
        </w:rPr>
        <w:instrText xml:space="preserve"> HYPERLINK \l "_Toc8741" </w:instrText>
      </w:r>
      <w:r>
        <w:rPr>
          <w:color w:val="auto"/>
          <w:highlight w:val="none"/>
        </w:rPr>
        <w:fldChar w:fldCharType="separate"/>
      </w:r>
      <w:r>
        <w:rPr>
          <w:color w:val="auto"/>
          <w:highlight w:val="none"/>
        </w:rPr>
        <w:t>12</w:t>
      </w:r>
      <w:r>
        <w:rPr>
          <w:rFonts w:hint="eastAsia" w:ascii="宋体" w:hAnsi="宋体"/>
          <w:color w:val="auto"/>
          <w:szCs w:val="21"/>
          <w:highlight w:val="none"/>
        </w:rPr>
        <w:t>.</w:t>
      </w:r>
      <w:r>
        <w:rPr>
          <w:color w:val="auto"/>
          <w:highlight w:val="none"/>
        </w:rPr>
        <w:t>1</w:t>
      </w:r>
      <w:r>
        <w:rPr>
          <w:rFonts w:hint="eastAsia"/>
          <w:color w:val="auto"/>
          <w:highlight w:val="none"/>
        </w:rPr>
        <w:t xml:space="preserve">  一般规定</w:t>
      </w:r>
      <w:r>
        <w:rPr>
          <w:color w:val="auto"/>
          <w:highlight w:val="none"/>
        </w:rPr>
        <w:tab/>
      </w:r>
      <w:r>
        <w:rPr>
          <w:rFonts w:hint="eastAsia"/>
          <w:color w:val="auto"/>
          <w:highlight w:val="none"/>
        </w:rPr>
        <w:t>8</w:t>
      </w:r>
      <w:r>
        <w:rPr>
          <w:rFonts w:hint="eastAsia"/>
          <w:color w:val="auto"/>
          <w:highlight w:val="none"/>
        </w:rPr>
        <w:fldChar w:fldCharType="end"/>
      </w:r>
      <w:r>
        <w:rPr>
          <w:rFonts w:hint="eastAsia"/>
          <w:color w:val="auto"/>
          <w:highlight w:val="none"/>
        </w:rPr>
        <w:t>1</w:t>
      </w:r>
    </w:p>
    <w:p>
      <w:pPr>
        <w:pStyle w:val="20"/>
        <w:tabs>
          <w:tab w:val="right" w:leader="dot" w:pos="9264"/>
        </w:tabs>
        <w:rPr>
          <w:color w:val="auto"/>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color w:val="auto"/>
          <w:highlight w:val="none"/>
        </w:rPr>
        <w:t>12</w:t>
      </w:r>
      <w:r>
        <w:rPr>
          <w:rFonts w:hint="eastAsia" w:ascii="宋体" w:hAnsi="宋体"/>
          <w:color w:val="auto"/>
          <w:szCs w:val="21"/>
          <w:highlight w:val="none"/>
        </w:rPr>
        <w:t>.</w:t>
      </w:r>
      <w:r>
        <w:rPr>
          <w:color w:val="auto"/>
          <w:highlight w:val="none"/>
        </w:rPr>
        <w:t>2  数字化设计</w:t>
      </w:r>
      <w:r>
        <w:rPr>
          <w:color w:val="auto"/>
          <w:highlight w:val="none"/>
        </w:rPr>
        <w:tab/>
      </w:r>
      <w:r>
        <w:rPr>
          <w:rFonts w:hint="eastAsia"/>
          <w:color w:val="auto"/>
          <w:highlight w:val="none"/>
        </w:rPr>
        <w:t>8</w:t>
      </w:r>
      <w:r>
        <w:rPr>
          <w:rFonts w:hint="eastAsia"/>
          <w:color w:val="auto"/>
          <w:highlight w:val="none"/>
        </w:rPr>
        <w:fldChar w:fldCharType="end"/>
      </w:r>
      <w:r>
        <w:rPr>
          <w:rFonts w:hint="eastAsia"/>
          <w:color w:val="auto"/>
          <w:highlight w:val="none"/>
        </w:rPr>
        <w:t>1</w:t>
      </w:r>
    </w:p>
    <w:p>
      <w:pPr>
        <w:pStyle w:val="20"/>
        <w:tabs>
          <w:tab w:val="right" w:leader="dot" w:pos="9264"/>
        </w:tabs>
        <w:rPr>
          <w:color w:val="auto"/>
          <w:highlight w:val="none"/>
        </w:rPr>
      </w:pPr>
      <w:r>
        <w:rPr>
          <w:color w:val="auto"/>
          <w:highlight w:val="none"/>
        </w:rPr>
        <w:fldChar w:fldCharType="begin"/>
      </w:r>
      <w:r>
        <w:rPr>
          <w:color w:val="auto"/>
          <w:highlight w:val="none"/>
        </w:rPr>
        <w:instrText xml:space="preserve"> HYPERLINK \l "_Toc12389" </w:instrText>
      </w:r>
      <w:r>
        <w:rPr>
          <w:color w:val="auto"/>
          <w:highlight w:val="none"/>
        </w:rPr>
        <w:fldChar w:fldCharType="separate"/>
      </w:r>
      <w:r>
        <w:rPr>
          <w:color w:val="auto"/>
          <w:highlight w:val="none"/>
        </w:rPr>
        <w:t>12</w:t>
      </w:r>
      <w:r>
        <w:rPr>
          <w:rFonts w:hint="eastAsia" w:ascii="宋体" w:hAnsi="宋体"/>
          <w:color w:val="auto"/>
          <w:szCs w:val="21"/>
          <w:highlight w:val="none"/>
        </w:rPr>
        <w:t>.</w:t>
      </w:r>
      <w:r>
        <w:rPr>
          <w:rFonts w:hint="eastAsia"/>
          <w:color w:val="auto"/>
          <w:highlight w:val="none"/>
        </w:rPr>
        <w:t>3  智能化制造和运输</w:t>
      </w:r>
      <w:r>
        <w:rPr>
          <w:color w:val="auto"/>
          <w:highlight w:val="none"/>
        </w:rPr>
        <w:tab/>
      </w:r>
      <w:r>
        <w:rPr>
          <w:rFonts w:hint="eastAsia"/>
          <w:color w:val="auto"/>
          <w:highlight w:val="none"/>
        </w:rPr>
        <w:t>8</w:t>
      </w:r>
      <w:r>
        <w:rPr>
          <w:rFonts w:hint="eastAsia"/>
          <w:color w:val="auto"/>
          <w:highlight w:val="none"/>
        </w:rPr>
        <w:fldChar w:fldCharType="end"/>
      </w:r>
      <w:r>
        <w:rPr>
          <w:rFonts w:hint="eastAsia"/>
          <w:color w:val="auto"/>
          <w:highlight w:val="none"/>
        </w:rPr>
        <w:t>1</w:t>
      </w:r>
    </w:p>
    <w:p>
      <w:pPr>
        <w:pStyle w:val="20"/>
        <w:tabs>
          <w:tab w:val="right" w:leader="dot" w:pos="9264"/>
        </w:tabs>
        <w:rPr>
          <w:color w:val="auto"/>
          <w:highlight w:val="none"/>
        </w:rPr>
      </w:pPr>
      <w:r>
        <w:rPr>
          <w:color w:val="auto"/>
          <w:highlight w:val="none"/>
        </w:rPr>
        <w:fldChar w:fldCharType="begin"/>
      </w:r>
      <w:r>
        <w:rPr>
          <w:color w:val="auto"/>
          <w:highlight w:val="none"/>
        </w:rPr>
        <w:instrText xml:space="preserve"> HYPERLINK \l "_Toc5535" </w:instrText>
      </w:r>
      <w:r>
        <w:rPr>
          <w:color w:val="auto"/>
          <w:highlight w:val="none"/>
        </w:rPr>
        <w:fldChar w:fldCharType="separate"/>
      </w:r>
      <w:r>
        <w:rPr>
          <w:color w:val="auto"/>
          <w:highlight w:val="none"/>
        </w:rPr>
        <w:t>12</w:t>
      </w:r>
      <w:r>
        <w:rPr>
          <w:rFonts w:hint="eastAsia" w:ascii="宋体" w:hAnsi="宋体"/>
          <w:color w:val="auto"/>
          <w:szCs w:val="21"/>
          <w:highlight w:val="none"/>
        </w:rPr>
        <w:t>.</w:t>
      </w:r>
      <w:r>
        <w:rPr>
          <w:color w:val="auto"/>
          <w:highlight w:val="none"/>
        </w:rPr>
        <w:t>4</w:t>
      </w:r>
      <w:r>
        <w:rPr>
          <w:rFonts w:hint="eastAsia"/>
          <w:color w:val="auto"/>
          <w:highlight w:val="none"/>
        </w:rPr>
        <w:t xml:space="preserve">  数字化施工</w:t>
      </w:r>
      <w:r>
        <w:rPr>
          <w:color w:val="auto"/>
          <w:highlight w:val="none"/>
        </w:rPr>
        <w:tab/>
      </w:r>
      <w:r>
        <w:rPr>
          <w:rFonts w:hint="eastAsia"/>
          <w:color w:val="auto"/>
          <w:highlight w:val="none"/>
        </w:rPr>
        <w:t>8</w:t>
      </w:r>
      <w:r>
        <w:rPr>
          <w:rFonts w:hint="eastAsia"/>
          <w:color w:val="auto"/>
          <w:highlight w:val="none"/>
        </w:rPr>
        <w:fldChar w:fldCharType="end"/>
      </w:r>
      <w:r>
        <w:rPr>
          <w:rFonts w:hint="eastAsia"/>
          <w:color w:val="auto"/>
          <w:highlight w:val="none"/>
        </w:rPr>
        <w:t>1</w:t>
      </w:r>
    </w:p>
    <w:p>
      <w:pPr>
        <w:rPr>
          <w:color w:val="auto"/>
          <w:highlight w:val="none"/>
        </w:rPr>
      </w:pPr>
      <w:r>
        <w:rPr>
          <w:color w:val="auto"/>
          <w:highlight w:val="none"/>
        </w:rPr>
        <w:br w:type="page"/>
      </w:r>
    </w:p>
    <w:p>
      <w:pPr>
        <w:pStyle w:val="2"/>
        <w:ind w:left="431"/>
        <w:rPr>
          <w:b/>
          <w:color w:val="auto"/>
          <w:highlight w:val="none"/>
        </w:rPr>
      </w:pPr>
      <w:r>
        <w:rPr>
          <w:rFonts w:hint="eastAsia" w:eastAsia="Times New Roman"/>
          <w:b/>
          <w:color w:val="auto"/>
          <w:spacing w:val="60"/>
          <w:szCs w:val="28"/>
          <w:highlight w:val="none"/>
        </w:rPr>
        <w:t>1</w:t>
      </w:r>
      <w:r>
        <w:rPr>
          <w:rFonts w:hint="eastAsia"/>
          <w:b/>
          <w:color w:val="auto"/>
          <w:highlight w:val="none"/>
        </w:rPr>
        <w:t xml:space="preserve"> 总</w:t>
      </w:r>
      <w:r>
        <w:rPr>
          <w:rFonts w:hint="eastAsia"/>
          <w:b/>
          <w:color w:val="auto"/>
          <w:highlight w:val="none"/>
          <w:lang w:val="en-US" w:eastAsia="zh-CN"/>
        </w:rPr>
        <w:t xml:space="preserve">  </w:t>
      </w:r>
      <w:r>
        <w:rPr>
          <w:rFonts w:hint="eastAsia"/>
          <w:b/>
          <w:color w:val="auto"/>
          <w:highlight w:val="none"/>
        </w:rPr>
        <w:t>则</w:t>
      </w:r>
    </w:p>
    <w:p>
      <w:pPr>
        <w:pStyle w:val="20"/>
        <w:ind w:left="0" w:leftChars="0"/>
        <w:rPr>
          <w:color w:val="auto"/>
          <w:szCs w:val="21"/>
          <w:highlight w:val="none"/>
        </w:rPr>
      </w:pPr>
      <w:r>
        <w:rPr>
          <w:rFonts w:eastAsia="Times New Roman"/>
          <w:b/>
          <w:color w:val="auto"/>
          <w:spacing w:val="28"/>
          <w:szCs w:val="21"/>
          <w:highlight w:val="none"/>
        </w:rPr>
        <w:t>1.</w:t>
      </w:r>
      <w:r>
        <w:rPr>
          <w:rFonts w:hint="eastAsia" w:eastAsia="Times New Roman"/>
          <w:b/>
          <w:color w:val="auto"/>
          <w:spacing w:val="28"/>
          <w:szCs w:val="21"/>
          <w:highlight w:val="none"/>
        </w:rPr>
        <w:t>0</w:t>
      </w:r>
      <w:r>
        <w:rPr>
          <w:rFonts w:eastAsia="Times New Roman"/>
          <w:b/>
          <w:color w:val="auto"/>
          <w:spacing w:val="28"/>
          <w:szCs w:val="21"/>
          <w:highlight w:val="none"/>
        </w:rPr>
        <w:t>.</w:t>
      </w:r>
      <w:r>
        <w:rPr>
          <w:rFonts w:hint="eastAsia" w:eastAsiaTheme="minorEastAsia"/>
          <w:b/>
          <w:color w:val="auto"/>
          <w:spacing w:val="28"/>
          <w:szCs w:val="21"/>
          <w:highlight w:val="none"/>
        </w:rPr>
        <w:t>2</w:t>
      </w:r>
      <w:r>
        <w:rPr>
          <w:rFonts w:hint="eastAsia" w:eastAsia="Times New Roman"/>
          <w:b/>
          <w:color w:val="auto"/>
          <w:szCs w:val="21"/>
          <w:highlight w:val="none"/>
        </w:rPr>
        <w:t xml:space="preserve">  </w:t>
      </w:r>
      <w:r>
        <w:rPr>
          <w:rFonts w:hint="eastAsia"/>
          <w:color w:val="auto"/>
          <w:szCs w:val="21"/>
          <w:highlight w:val="none"/>
        </w:rPr>
        <w:t>标准化的单元模块设计与工厂化预制生产，显著提升建造效率、质量可控性与成本效益。其适用场景主要针对具备功能、空间重复性高的建筑类型（如住宅、宿舍、酒店及建设者之家等）；同时，模块化建筑拥有建设速度快、场地占用小、周边环境友好等优势，在原拆原建、现房销售等工期要求紧迫、施工场地受限的场景下，带来一定的经济、环境效益，亦可供建设单位进行选择。</w:t>
      </w:r>
    </w:p>
    <w:p>
      <w:pPr>
        <w:rPr>
          <w:color w:val="auto"/>
          <w:highlight w:val="none"/>
        </w:rPr>
      </w:pPr>
    </w:p>
    <w:p>
      <w:pPr>
        <w:pStyle w:val="20"/>
        <w:ind w:left="0" w:leftChars="0"/>
        <w:rPr>
          <w:color w:val="auto"/>
          <w:highlight w:val="none"/>
        </w:rPr>
        <w:sectPr>
          <w:pgSz w:w="11906" w:h="16838"/>
          <w:pgMar w:top="1610" w:right="1349" w:bottom="1213" w:left="1293" w:header="851" w:footer="992" w:gutter="0"/>
          <w:cols w:space="0" w:num="1"/>
          <w:docGrid w:type="lines" w:linePitch="312" w:charSpace="0"/>
        </w:sectPr>
      </w:pPr>
    </w:p>
    <w:p>
      <w:pPr>
        <w:pStyle w:val="2"/>
        <w:numPr>
          <w:ilvl w:val="-1"/>
          <w:numId w:val="0"/>
        </w:numPr>
        <w:ind w:left="0"/>
        <w:rPr>
          <w:rFonts w:hint="eastAsia"/>
          <w:b/>
          <w:color w:val="auto"/>
          <w:highlight w:val="none"/>
        </w:rPr>
      </w:pPr>
      <w:r>
        <w:rPr>
          <w:rFonts w:hint="eastAsia"/>
          <w:b/>
          <w:color w:val="auto"/>
          <w:highlight w:val="none"/>
        </w:rPr>
        <w:t>3 项目策划</w:t>
      </w:r>
    </w:p>
    <w:p>
      <w:pPr>
        <w:pStyle w:val="4"/>
        <w:numPr>
          <w:ilvl w:val="1"/>
          <w:numId w:val="0"/>
        </w:numPr>
        <w:rPr>
          <w:color w:val="auto"/>
          <w:highlight w:val="none"/>
        </w:rPr>
      </w:pPr>
      <w:r>
        <w:rPr>
          <w:rFonts w:eastAsia="Times New Roman"/>
          <w:b/>
          <w:color w:val="auto"/>
          <w:spacing w:val="20"/>
          <w:szCs w:val="21"/>
          <w:highlight w:val="none"/>
        </w:rPr>
        <w:t>3.1</w:t>
      </w:r>
      <w:r>
        <w:rPr>
          <w:rFonts w:hint="eastAsia" w:eastAsia="Times New Roman"/>
          <w:b/>
          <w:color w:val="auto"/>
          <w:spacing w:val="20"/>
          <w:szCs w:val="21"/>
          <w:highlight w:val="none"/>
        </w:rPr>
        <w:t xml:space="preserve">  </w:t>
      </w:r>
      <w:r>
        <w:rPr>
          <w:rFonts w:hint="eastAsia"/>
          <w:color w:val="auto"/>
          <w:highlight w:val="none"/>
        </w:rPr>
        <w:t>一般规定</w:t>
      </w:r>
    </w:p>
    <w:p>
      <w:pPr>
        <w:rPr>
          <w:color w:val="auto"/>
          <w:highlight w:val="none"/>
        </w:rPr>
      </w:pPr>
      <w:r>
        <w:rPr>
          <w:rFonts w:eastAsia="Times New Roman"/>
          <w:b/>
          <w:color w:val="auto"/>
          <w:spacing w:val="28"/>
          <w:szCs w:val="21"/>
          <w:highlight w:val="none"/>
        </w:rPr>
        <w:t>3.1.</w:t>
      </w:r>
      <w:r>
        <w:rPr>
          <w:rFonts w:hint="eastAsia" w:eastAsiaTheme="minorEastAsia"/>
          <w:b/>
          <w:color w:val="auto"/>
          <w:spacing w:val="28"/>
          <w:szCs w:val="21"/>
          <w:highlight w:val="none"/>
        </w:rPr>
        <w:t>1</w:t>
      </w:r>
      <w:r>
        <w:rPr>
          <w:rFonts w:hint="eastAsia" w:eastAsia="Times New Roman"/>
          <w:b/>
          <w:color w:val="auto"/>
          <w:szCs w:val="21"/>
          <w:highlight w:val="none"/>
        </w:rPr>
        <w:t xml:space="preserve">  </w:t>
      </w:r>
      <w:r>
        <w:rPr>
          <w:rFonts w:hint="eastAsia"/>
          <w:color w:val="auto"/>
          <w:highlight w:val="none"/>
        </w:rPr>
        <w:t>项目策划应考虑模块化建筑的全生命周期成本，包括设计、制造、运输、施工和维护。</w:t>
      </w:r>
    </w:p>
    <w:p>
      <w:pPr>
        <w:rPr>
          <w:color w:val="auto"/>
          <w:highlight w:val="none"/>
        </w:rPr>
      </w:pPr>
      <w:r>
        <w:rPr>
          <w:rFonts w:eastAsia="Times New Roman"/>
          <w:b/>
          <w:color w:val="auto"/>
          <w:spacing w:val="28"/>
          <w:szCs w:val="21"/>
          <w:highlight w:val="none"/>
        </w:rPr>
        <w:t>3.1.</w:t>
      </w:r>
      <w:r>
        <w:rPr>
          <w:rFonts w:hint="eastAsia" w:eastAsiaTheme="minorEastAsia"/>
          <w:b/>
          <w:color w:val="auto"/>
          <w:spacing w:val="28"/>
          <w:szCs w:val="21"/>
          <w:highlight w:val="none"/>
        </w:rPr>
        <w:t>4</w:t>
      </w:r>
      <w:r>
        <w:rPr>
          <w:rFonts w:hint="eastAsia" w:eastAsia="Times New Roman"/>
          <w:b/>
          <w:color w:val="auto"/>
          <w:szCs w:val="21"/>
          <w:highlight w:val="none"/>
        </w:rPr>
        <w:t xml:space="preserve">  </w:t>
      </w:r>
      <w:r>
        <w:rPr>
          <w:rFonts w:hint="eastAsia"/>
          <w:color w:val="auto"/>
          <w:highlight w:val="none"/>
        </w:rPr>
        <w:t>在混凝土模块化建筑项目中，应鼓励采用工程总承包（EPC）等专业管理模式，优先选择具备设计、制造和施工一体化能力的企业进行项目实施。这种方式能够提高项目的协同效率，缩短建设周期，降低管理成本。如果建设单位或总承包单位具备较强的管理能力，也可考虑采用专业分包模式，以确保项目的质量与进度。</w:t>
      </w:r>
    </w:p>
    <w:p>
      <w:pPr>
        <w:rPr>
          <w:color w:val="auto"/>
          <w:highlight w:val="none"/>
        </w:rPr>
      </w:pPr>
      <w:r>
        <w:rPr>
          <w:rFonts w:eastAsia="Times New Roman"/>
          <w:b/>
          <w:color w:val="auto"/>
          <w:spacing w:val="28"/>
          <w:szCs w:val="21"/>
          <w:highlight w:val="none"/>
        </w:rPr>
        <w:t>3.1.</w:t>
      </w:r>
      <w:r>
        <w:rPr>
          <w:rFonts w:hint="eastAsia" w:eastAsia="Times New Roman"/>
          <w:b/>
          <w:color w:val="auto"/>
          <w:spacing w:val="28"/>
          <w:szCs w:val="21"/>
          <w:highlight w:val="none"/>
        </w:rPr>
        <w:t>5</w:t>
      </w:r>
      <w:r>
        <w:rPr>
          <w:rFonts w:hint="eastAsia" w:eastAsia="Times New Roman"/>
          <w:b/>
          <w:color w:val="auto"/>
          <w:szCs w:val="21"/>
          <w:highlight w:val="none"/>
        </w:rPr>
        <w:t xml:space="preserve">  </w:t>
      </w:r>
      <w:r>
        <w:rPr>
          <w:color w:val="auto"/>
          <w:highlight w:val="none"/>
        </w:rPr>
        <w:t>模块化建筑的监督检查应结合模块化建筑产品化生产的特点，分阶段进行，在工厂预制、运输及进场、现场组装等阶段应有针对性地制定质量控制要求并落实。质量检查应统筹协调相关政府部门、相关参建方质检团队、监理单位、第三方机构等各方工作要求，确保监督检查要求合理、质量可靠、流程合规。</w:t>
      </w:r>
    </w:p>
    <w:p>
      <w:pPr>
        <w:rPr>
          <w:color w:val="auto"/>
          <w:highlight w:val="none"/>
        </w:rPr>
      </w:pPr>
      <w:r>
        <w:rPr>
          <w:rFonts w:hint="eastAsia" w:eastAsia="Times New Roman"/>
          <w:b/>
          <w:color w:val="auto"/>
          <w:spacing w:val="28"/>
          <w:szCs w:val="21"/>
          <w:highlight w:val="none"/>
        </w:rPr>
        <w:t>3.1.6</w:t>
      </w:r>
      <w:r>
        <w:rPr>
          <w:rFonts w:hint="eastAsia" w:eastAsia="Times New Roman"/>
          <w:b/>
          <w:color w:val="auto"/>
          <w:szCs w:val="21"/>
          <w:highlight w:val="none"/>
        </w:rPr>
        <w:t xml:space="preserve">  </w:t>
      </w:r>
      <w:r>
        <w:rPr>
          <w:color w:val="auto"/>
          <w:highlight w:val="none"/>
        </w:rPr>
        <w:t>工程监理单位应依据项目具体特点，合理配置建筑、结构、装饰装修、机电、安全等领域的专业工程师。宜根据《上海市建筑信息模型技术应用指南》构建基于工业物联网的数字化监造平台，运用BIM模型与生产管理系统对接，实现对原材料入场检验、工艺参数设定、组装精度控制等全流程实时监控。形成包括影像日志、电子签认单、质量追踪码在内的多维印证材料，按《建设工程文件归档规范》GB/T 50328要求保存至工程全生命周期，确保质量追溯期不少于设计工作年限。</w:t>
      </w:r>
    </w:p>
    <w:p>
      <w:pPr>
        <w:rPr>
          <w:color w:val="auto"/>
          <w:highlight w:val="none"/>
        </w:rPr>
      </w:pPr>
      <w:r>
        <w:rPr>
          <w:rFonts w:eastAsia="Times New Roman"/>
          <w:b/>
          <w:color w:val="auto"/>
          <w:spacing w:val="28"/>
          <w:szCs w:val="21"/>
          <w:highlight w:val="none"/>
        </w:rPr>
        <w:t>3.1.</w:t>
      </w:r>
      <w:r>
        <w:rPr>
          <w:rFonts w:hint="eastAsia" w:eastAsia="Times New Roman"/>
          <w:b/>
          <w:color w:val="auto"/>
          <w:spacing w:val="28"/>
          <w:szCs w:val="21"/>
          <w:highlight w:val="none"/>
        </w:rPr>
        <w:t xml:space="preserve">10 </w:t>
      </w:r>
      <w:r>
        <w:rPr>
          <w:rFonts w:hint="eastAsia" w:eastAsiaTheme="minorEastAsia"/>
          <w:b/>
          <w:color w:val="auto"/>
          <w:spacing w:val="28"/>
          <w:szCs w:val="21"/>
          <w:highlight w:val="none"/>
        </w:rPr>
        <w:t xml:space="preserve"> </w:t>
      </w:r>
      <w:r>
        <w:rPr>
          <w:rFonts w:hint="eastAsia"/>
          <w:color w:val="auto"/>
          <w:highlight w:val="none"/>
        </w:rPr>
        <w:t>BIM应用应事先制定BIM应用策划，并遵照策划进行BIM应用的过程管理。BIM应用策划应包含应用目标，应用范围和内容，人员组织架构和相应职责，BIM应用流程，模型创建、使用和管理要求，信息交换要求，模型质量控制和信息安全要求，进度计划和应用成果要求，软硬件基础条件等。</w:t>
      </w:r>
    </w:p>
    <w:p>
      <w:pPr>
        <w:pStyle w:val="4"/>
        <w:numPr>
          <w:ilvl w:val="1"/>
          <w:numId w:val="0"/>
        </w:numPr>
        <w:rPr>
          <w:color w:val="auto"/>
          <w:highlight w:val="none"/>
        </w:rPr>
      </w:pPr>
      <w:r>
        <w:rPr>
          <w:rFonts w:eastAsia="Times New Roman"/>
          <w:b/>
          <w:color w:val="auto"/>
          <w:spacing w:val="20"/>
          <w:szCs w:val="21"/>
          <w:highlight w:val="none"/>
        </w:rPr>
        <w:t>3.2</w:t>
      </w:r>
      <w:r>
        <w:rPr>
          <w:rFonts w:hint="eastAsia" w:eastAsia="Times New Roman"/>
          <w:b/>
          <w:color w:val="auto"/>
          <w:spacing w:val="20"/>
          <w:szCs w:val="21"/>
          <w:highlight w:val="none"/>
        </w:rPr>
        <w:t xml:space="preserve">  </w:t>
      </w:r>
      <w:r>
        <w:rPr>
          <w:rFonts w:hint="eastAsia"/>
          <w:color w:val="auto"/>
          <w:highlight w:val="none"/>
        </w:rPr>
        <w:t>设计策划</w:t>
      </w:r>
    </w:p>
    <w:p>
      <w:pPr>
        <w:rPr>
          <w:rFonts w:eastAsia="Times New Roman"/>
          <w:b/>
          <w:color w:val="auto"/>
          <w:spacing w:val="28"/>
          <w:szCs w:val="21"/>
          <w:highlight w:val="none"/>
        </w:rPr>
      </w:pPr>
      <w:r>
        <w:rPr>
          <w:rFonts w:eastAsia="Times New Roman"/>
          <w:b/>
          <w:color w:val="auto"/>
          <w:spacing w:val="28"/>
          <w:szCs w:val="21"/>
          <w:highlight w:val="none"/>
        </w:rPr>
        <w:t>3.2.4</w:t>
      </w:r>
      <w:r>
        <w:rPr>
          <w:rFonts w:hint="eastAsia" w:eastAsia="Times New Roman"/>
          <w:b/>
          <w:color w:val="auto"/>
          <w:spacing w:val="28"/>
          <w:szCs w:val="21"/>
          <w:highlight w:val="none"/>
        </w:rPr>
        <w:t xml:space="preserve">  </w:t>
      </w:r>
      <w:r>
        <w:rPr>
          <w:rFonts w:hint="eastAsia"/>
          <w:color w:val="auto"/>
          <w:highlight w:val="none"/>
        </w:rPr>
        <w:t>在混凝土模块化建筑方案设计阶段，必须明确模块的尺寸、重量等关键内容。而这些参数与制造及生产密切相关，涵盖模块制造单位的制造工艺与加工设备能力，厂内运输条件（包括厂房高度、通道宽度，以及转运和起重设备的规格）；道路的承载力与高宽限制；还有现场吊装环境，如场地状况、周边环境及气候条件等多个方面。</w:t>
      </w:r>
    </w:p>
    <w:p>
      <w:pPr>
        <w:pStyle w:val="4"/>
        <w:numPr>
          <w:ilvl w:val="1"/>
          <w:numId w:val="0"/>
        </w:numPr>
        <w:rPr>
          <w:color w:val="auto"/>
          <w:highlight w:val="none"/>
        </w:rPr>
      </w:pPr>
      <w:r>
        <w:rPr>
          <w:rFonts w:eastAsia="Times New Roman"/>
          <w:b/>
          <w:color w:val="auto"/>
          <w:spacing w:val="20"/>
          <w:szCs w:val="21"/>
          <w:highlight w:val="none"/>
        </w:rPr>
        <w:t>3.3</w:t>
      </w:r>
      <w:r>
        <w:rPr>
          <w:rFonts w:hint="eastAsia" w:eastAsia="Times New Roman"/>
          <w:b/>
          <w:color w:val="auto"/>
          <w:spacing w:val="20"/>
          <w:szCs w:val="21"/>
          <w:highlight w:val="none"/>
        </w:rPr>
        <w:t xml:space="preserve">  </w:t>
      </w:r>
      <w:r>
        <w:rPr>
          <w:rFonts w:hint="eastAsia"/>
          <w:color w:val="auto"/>
          <w:highlight w:val="none"/>
        </w:rPr>
        <w:t>工厂制造与现场施工策划</w:t>
      </w:r>
    </w:p>
    <w:p>
      <w:pPr>
        <w:rPr>
          <w:color w:val="auto"/>
          <w:szCs w:val="21"/>
          <w:highlight w:val="none"/>
        </w:rPr>
      </w:pPr>
      <w:r>
        <w:rPr>
          <w:rFonts w:eastAsia="Times New Roman"/>
          <w:b/>
          <w:color w:val="auto"/>
          <w:spacing w:val="28"/>
          <w:szCs w:val="21"/>
          <w:highlight w:val="none"/>
        </w:rPr>
        <w:t>3.3.</w:t>
      </w:r>
      <w:r>
        <w:rPr>
          <w:rFonts w:hint="eastAsia" w:eastAsia="Times New Roman"/>
          <w:b/>
          <w:color w:val="auto"/>
          <w:spacing w:val="28"/>
          <w:szCs w:val="21"/>
          <w:highlight w:val="none"/>
        </w:rPr>
        <w:t>2</w:t>
      </w:r>
      <w:r>
        <w:rPr>
          <w:rFonts w:hint="eastAsia"/>
          <w:color w:val="auto"/>
          <w:szCs w:val="21"/>
          <w:highlight w:val="none"/>
        </w:rPr>
        <w:t xml:space="preserve">  为充分发挥混凝土模块化建筑在工业化生产中的优势，所有可实现的施工操作及质量检验与验收工作应尽可能在工厂内完成，涵盖混凝土模块的制造、装饰装修工程以及机电管线工程等。现场作业则主要包括结构连接、管线对接、拼缝处理以及整体调试等环节。在加工图设计阶段，应充分考虑施工界面，并预留适当的操作空间，同时提供相应的构造方法。当采用EPC总承包模式时，工厂和现场的施工界面可由工程总承包单位确定。</w:t>
      </w:r>
    </w:p>
    <w:p>
      <w:pPr>
        <w:rPr>
          <w:rFonts w:eastAsia="Times New Roman"/>
          <w:b/>
          <w:color w:val="auto"/>
          <w:spacing w:val="28"/>
          <w:szCs w:val="21"/>
          <w:highlight w:val="none"/>
        </w:rPr>
      </w:pPr>
      <w:r>
        <w:rPr>
          <w:rFonts w:eastAsia="Times New Roman"/>
          <w:b/>
          <w:color w:val="auto"/>
          <w:spacing w:val="28"/>
          <w:szCs w:val="21"/>
          <w:highlight w:val="none"/>
        </w:rPr>
        <w:t>3.3.3</w:t>
      </w:r>
      <w:r>
        <w:rPr>
          <w:rFonts w:hint="eastAsia" w:eastAsia="Times New Roman"/>
          <w:b/>
          <w:color w:val="auto"/>
          <w:spacing w:val="28"/>
          <w:szCs w:val="21"/>
          <w:highlight w:val="none"/>
        </w:rPr>
        <w:t xml:space="preserve">  </w:t>
      </w:r>
      <w:r>
        <w:rPr>
          <w:rFonts w:hint="eastAsia"/>
          <w:color w:val="auto"/>
          <w:highlight w:val="none"/>
        </w:rPr>
        <w:t>在生产或建设过程中，选择合适的模块制造单位至关重要。混凝土模块单元的工厂制造划分两个大的阶段，包括结构系统的制造，装饰装修及机电系统的制造。两个阶段的制作宜在一个制造基地内完成，可以减少转运成本及质量风险，</w:t>
      </w:r>
      <w:r>
        <w:rPr>
          <w:rFonts w:hint="eastAsia"/>
          <w:color w:val="auto"/>
          <w:highlight w:val="none"/>
          <w:lang w:eastAsia="zh-CN"/>
        </w:rPr>
        <w:t>并有</w:t>
      </w:r>
      <w:r>
        <w:rPr>
          <w:rFonts w:hint="eastAsia"/>
          <w:color w:val="auto"/>
          <w:highlight w:val="none"/>
        </w:rPr>
        <w:t>利于减少管理成本。模块制造单位需建立完善的质量与安全管理体系，这包括明确的质量控制标准和安全操作规程等。同时，该单位的产能必须能够满足项目的工期需求，以保障整个项目的顺利推进。</w:t>
      </w:r>
    </w:p>
    <w:p>
      <w:pPr>
        <w:rPr>
          <w:color w:val="auto"/>
          <w:highlight w:val="none"/>
        </w:rPr>
      </w:pPr>
      <w:r>
        <w:rPr>
          <w:rFonts w:eastAsia="Times New Roman"/>
          <w:b/>
          <w:color w:val="auto"/>
          <w:spacing w:val="28"/>
          <w:szCs w:val="21"/>
          <w:highlight w:val="none"/>
        </w:rPr>
        <w:t>3.3.4</w:t>
      </w:r>
      <w:r>
        <w:rPr>
          <w:rFonts w:hint="eastAsia" w:eastAsia="Times New Roman"/>
          <w:b/>
          <w:color w:val="auto"/>
          <w:szCs w:val="21"/>
          <w:highlight w:val="none"/>
        </w:rPr>
        <w:t xml:space="preserve">  </w:t>
      </w:r>
      <w:r>
        <w:rPr>
          <w:rFonts w:hint="eastAsia"/>
          <w:color w:val="auto"/>
          <w:highlight w:val="none"/>
        </w:rPr>
        <w:t>模块化建造施工专项方案应明确模块化建筑工程的总体施工流程、模块单元运输吊装方案、现浇与预制转换层、标准层、顶层施工安装流程等工作部署。</w:t>
      </w:r>
    </w:p>
    <w:p>
      <w:pPr>
        <w:rPr>
          <w:color w:val="auto"/>
          <w:highlight w:val="none"/>
        </w:rPr>
        <w:sectPr>
          <w:pgSz w:w="11906" w:h="16838"/>
          <w:pgMar w:top="1610" w:right="1349" w:bottom="1213" w:left="1293" w:header="851" w:footer="992" w:gutter="0"/>
          <w:cols w:space="0" w:num="1"/>
          <w:docGrid w:type="lines" w:linePitch="312" w:charSpace="0"/>
        </w:sectPr>
      </w:pPr>
    </w:p>
    <w:p>
      <w:pPr>
        <w:pStyle w:val="2"/>
        <w:numPr>
          <w:ilvl w:val="-1"/>
          <w:numId w:val="0"/>
        </w:numPr>
        <w:rPr>
          <w:rFonts w:hint="eastAsia"/>
          <w:b/>
          <w:color w:val="auto"/>
          <w:highlight w:val="none"/>
        </w:rPr>
      </w:pPr>
      <w:r>
        <w:rPr>
          <w:rFonts w:hint="eastAsia"/>
          <w:b/>
          <w:color w:val="auto"/>
          <w:highlight w:val="none"/>
        </w:rPr>
        <w:t>4 建筑设计</w:t>
      </w:r>
    </w:p>
    <w:p>
      <w:pPr>
        <w:pStyle w:val="4"/>
        <w:numPr>
          <w:ilvl w:val="1"/>
          <w:numId w:val="0"/>
        </w:numPr>
        <w:rPr>
          <w:color w:val="auto"/>
          <w:highlight w:val="none"/>
        </w:rPr>
      </w:pPr>
      <w:r>
        <w:rPr>
          <w:rFonts w:eastAsia="Times New Roman"/>
          <w:b/>
          <w:color w:val="auto"/>
          <w:spacing w:val="20"/>
          <w:szCs w:val="21"/>
          <w:highlight w:val="none"/>
        </w:rPr>
        <w:t>4.2</w:t>
      </w:r>
      <w:r>
        <w:rPr>
          <w:rFonts w:hint="eastAsia" w:eastAsia="Times New Roman"/>
          <w:b/>
          <w:color w:val="auto"/>
          <w:spacing w:val="20"/>
          <w:szCs w:val="21"/>
          <w:highlight w:val="none"/>
        </w:rPr>
        <w:t xml:space="preserve">  </w:t>
      </w:r>
      <w:r>
        <w:rPr>
          <w:rFonts w:hint="eastAsia"/>
          <w:color w:val="auto"/>
          <w:highlight w:val="none"/>
        </w:rPr>
        <w:t>模数协调</w:t>
      </w:r>
    </w:p>
    <w:p>
      <w:pPr>
        <w:rPr>
          <w:color w:val="auto"/>
          <w:highlight w:val="none"/>
        </w:rPr>
      </w:pPr>
      <w:r>
        <w:rPr>
          <w:rFonts w:eastAsia="Times New Roman"/>
          <w:b/>
          <w:color w:val="auto"/>
          <w:spacing w:val="28"/>
          <w:szCs w:val="21"/>
          <w:highlight w:val="none"/>
        </w:rPr>
        <w:t>4.2.</w:t>
      </w:r>
      <w:r>
        <w:rPr>
          <w:rFonts w:hint="eastAsia" w:eastAsia="Times New Roman"/>
          <w:b/>
          <w:color w:val="auto"/>
          <w:spacing w:val="28"/>
          <w:szCs w:val="21"/>
          <w:highlight w:val="none"/>
        </w:rPr>
        <w:t>1</w:t>
      </w:r>
      <w:r>
        <w:rPr>
          <w:rFonts w:hint="eastAsia" w:eastAsia="Times New Roman"/>
          <w:b/>
          <w:color w:val="auto"/>
          <w:szCs w:val="21"/>
          <w:highlight w:val="none"/>
        </w:rPr>
        <w:t xml:space="preserve">  </w:t>
      </w:r>
      <w:r>
        <w:rPr>
          <w:rFonts w:hint="eastAsia"/>
          <w:color w:val="auto"/>
          <w:highlight w:val="none"/>
        </w:rPr>
        <w:t>模块单元净尺寸的开间模数宜采用2nM或3nM，进深模数宜采用3nM，模块单元标志尺寸的开间模数和进深模数宜采用1nM或1/2nM。</w:t>
      </w:r>
    </w:p>
    <w:p>
      <w:pPr>
        <w:ind w:firstLine="420" w:firstLineChars="200"/>
        <w:rPr>
          <w:color w:val="auto"/>
          <w:highlight w:val="none"/>
        </w:rPr>
      </w:pPr>
      <w:r>
        <w:rPr>
          <w:color w:val="auto"/>
          <w:highlight w:val="none"/>
        </w:rPr>
        <w:t>建筑的平面尺寸可包含模块净尺寸和标志尺寸，一般情况下，模块的净尺寸与标志尺寸难以同时满足模数要求。模块化建筑的制造模具，通常是以钢内胆和可移动外模板组成，这种工艺可保证模块单元内部净尺寸的高精准度，可以和内装部品部件的精度相匹配。因此，内部净尺寸的模数宜有更高要求，可采用2M或3M，以实现内装部品部件的定型化，有利于提高模块化建筑施工的经济性和</w:t>
      </w:r>
      <w:r>
        <w:rPr>
          <w:rFonts w:hint="eastAsia"/>
          <w:color w:val="auto"/>
          <w:highlight w:val="none"/>
          <w:lang w:eastAsia="zh-CN"/>
        </w:rPr>
        <w:t>效率</w:t>
      </w:r>
      <w:r>
        <w:rPr>
          <w:color w:val="auto"/>
          <w:highlight w:val="none"/>
        </w:rPr>
        <w:t>。此外，考虑到设计习惯及行业发展现状，也可采用标志尺寸作为平面尺寸进行设计。</w:t>
      </w:r>
    </w:p>
    <w:p>
      <w:pPr>
        <w:rPr>
          <w:rFonts w:eastAsia="Times New Roman"/>
          <w:b/>
          <w:color w:val="auto"/>
          <w:spacing w:val="28"/>
          <w:szCs w:val="21"/>
          <w:highlight w:val="none"/>
        </w:rPr>
      </w:pPr>
      <w:r>
        <w:rPr>
          <w:rFonts w:eastAsia="Times New Roman"/>
          <w:b/>
          <w:color w:val="auto"/>
          <w:spacing w:val="28"/>
          <w:szCs w:val="21"/>
          <w:highlight w:val="none"/>
        </w:rPr>
        <w:t>4.2.</w:t>
      </w:r>
      <w:r>
        <w:rPr>
          <w:rFonts w:hint="eastAsia" w:eastAsia="Times New Roman"/>
          <w:b/>
          <w:color w:val="auto"/>
          <w:spacing w:val="28"/>
          <w:szCs w:val="21"/>
          <w:highlight w:val="none"/>
        </w:rPr>
        <w:t xml:space="preserve">2  </w:t>
      </w:r>
      <w:r>
        <w:rPr>
          <w:rFonts w:hint="eastAsia"/>
          <w:color w:val="auto"/>
          <w:highlight w:val="none"/>
        </w:rPr>
        <w:t>模块单元宜采用标准化的混凝土构件、外围护及内装部品部件，宜进行建筑以及结构连接节点构造的标准化设计，通过模块单元的标准化连接组合形成多样化的混凝土模块化建筑。</w:t>
      </w:r>
    </w:p>
    <w:p>
      <w:pPr>
        <w:rPr>
          <w:color w:val="auto"/>
          <w:szCs w:val="21"/>
          <w:highlight w:val="none"/>
        </w:rPr>
      </w:pPr>
      <w:r>
        <w:rPr>
          <w:rFonts w:eastAsia="Times New Roman"/>
          <w:b/>
          <w:color w:val="auto"/>
          <w:spacing w:val="28"/>
          <w:szCs w:val="21"/>
          <w:highlight w:val="none"/>
        </w:rPr>
        <w:t>4.2.</w:t>
      </w:r>
      <w:r>
        <w:rPr>
          <w:rFonts w:hint="eastAsia" w:eastAsia="Times New Roman"/>
          <w:b/>
          <w:color w:val="auto"/>
          <w:spacing w:val="28"/>
          <w:szCs w:val="21"/>
          <w:highlight w:val="none"/>
        </w:rPr>
        <w:t>3</w:t>
      </w:r>
      <w:r>
        <w:rPr>
          <w:rFonts w:hint="eastAsia" w:eastAsia="Times New Roman"/>
          <w:b/>
          <w:color w:val="auto"/>
          <w:szCs w:val="21"/>
          <w:highlight w:val="none"/>
        </w:rPr>
        <w:t xml:space="preserve">  </w:t>
      </w:r>
      <w:r>
        <w:rPr>
          <w:color w:val="auto"/>
          <w:szCs w:val="21"/>
          <w:highlight w:val="none"/>
        </w:rPr>
        <w:t>工业化建筑的前提是标准化，只有实现了标准化，才可能实现工业化的规模化制造。模数空间参考系统中三个方向的模数参考平面所采用的模数网格尺寸可以是不同的，将模块单元及其部品部件置于此空间参考系统中进行模数协调，通过节点和接口使其相互和谐地配合工作，使设计、施工及安装等各个环节的配合简单、明确、可靠，达到建造的高效率和经济性（图1）。</w:t>
      </w:r>
    </w:p>
    <w:p>
      <w:pPr>
        <w:jc w:val="center"/>
        <w:rPr>
          <w:color w:val="auto"/>
          <w:szCs w:val="21"/>
          <w:highlight w:val="none"/>
        </w:rPr>
      </w:pPr>
      <w:r>
        <w:rPr>
          <w:color w:val="auto"/>
          <w:highlight w:val="none"/>
        </w:rPr>
        <w:pict>
          <v:shape id="_x0000_i1026" o:spt="75" type="#_x0000_t75" style="height:170pt;width:183.2pt;" filled="f" o:preferrelative="t" stroked="f" coordsize="21600,21600">
            <v:path/>
            <v:fill on="f" focussize="0,0"/>
            <v:stroke on="f" joinstyle="miter"/>
            <v:imagedata r:id="rId38" o:title=""/>
            <o:lock v:ext="edit" aspectratio="t"/>
            <w10:wrap type="none"/>
            <w10:anchorlock/>
          </v:shape>
        </w:pict>
      </w:r>
    </w:p>
    <w:p>
      <w:pPr>
        <w:jc w:val="center"/>
        <w:rPr>
          <w:color w:val="auto"/>
          <w:szCs w:val="21"/>
          <w:highlight w:val="none"/>
        </w:rPr>
      </w:pPr>
      <w:r>
        <w:rPr>
          <w:color w:val="auto"/>
          <w:szCs w:val="21"/>
          <w:highlight w:val="none"/>
        </w:rPr>
        <w:t>图1  模块单元及其内装部品定位的空间模数参考系统</w:t>
      </w:r>
    </w:p>
    <w:p>
      <w:pPr>
        <w:jc w:val="center"/>
        <w:rPr>
          <w:color w:val="auto"/>
          <w:szCs w:val="21"/>
          <w:highlight w:val="none"/>
        </w:rPr>
      </w:pPr>
      <w:r>
        <w:rPr>
          <w:color w:val="auto"/>
          <w:szCs w:val="21"/>
          <w:highlight w:val="none"/>
        </w:rPr>
        <w:t>n—自然数；M—基本模数</w:t>
      </w:r>
    </w:p>
    <w:p>
      <w:pPr>
        <w:rPr>
          <w:color w:val="auto"/>
          <w:szCs w:val="21"/>
          <w:highlight w:val="none"/>
        </w:rPr>
      </w:pPr>
      <w:r>
        <w:rPr>
          <w:rFonts w:eastAsia="Times New Roman"/>
          <w:b/>
          <w:color w:val="auto"/>
          <w:spacing w:val="28"/>
          <w:szCs w:val="21"/>
          <w:highlight w:val="none"/>
        </w:rPr>
        <w:t>4.2.</w:t>
      </w:r>
      <w:r>
        <w:rPr>
          <w:rFonts w:hint="eastAsia" w:eastAsia="Times New Roman"/>
          <w:b/>
          <w:color w:val="auto"/>
          <w:spacing w:val="28"/>
          <w:szCs w:val="21"/>
          <w:highlight w:val="none"/>
        </w:rPr>
        <w:t>6</w:t>
      </w:r>
      <w:r>
        <w:rPr>
          <w:rFonts w:hint="eastAsia" w:eastAsia="Times New Roman"/>
          <w:b/>
          <w:color w:val="auto"/>
          <w:szCs w:val="21"/>
          <w:highlight w:val="none"/>
        </w:rPr>
        <w:t xml:space="preserve">  </w:t>
      </w:r>
      <w:r>
        <w:rPr>
          <w:color w:val="auto"/>
          <w:szCs w:val="21"/>
          <w:highlight w:val="none"/>
        </w:rPr>
        <w:t>根据《超限运输车辆行驶公路管理规定》，超限运输车辆指有下列情形之一的货物运输车辆</w:t>
      </w:r>
      <w:r>
        <w:rPr>
          <w:rFonts w:hint="eastAsia"/>
          <w:color w:val="auto"/>
          <w:szCs w:val="21"/>
          <w:highlight w:val="none"/>
          <w:lang w:eastAsia="zh-CN"/>
        </w:rPr>
        <w:t>：</w:t>
      </w:r>
      <w:r>
        <w:rPr>
          <w:color w:val="auto"/>
          <w:szCs w:val="21"/>
          <w:highlight w:val="none"/>
        </w:rPr>
        <w:t>(1)车货总高度从地面算起超过4米</w:t>
      </w:r>
      <w:r>
        <w:rPr>
          <w:rFonts w:hint="eastAsia"/>
          <w:color w:val="auto"/>
          <w:szCs w:val="21"/>
          <w:highlight w:val="none"/>
          <w:lang w:eastAsia="zh-CN"/>
        </w:rPr>
        <w:t>；</w:t>
      </w:r>
      <w:r>
        <w:rPr>
          <w:color w:val="auto"/>
          <w:szCs w:val="21"/>
          <w:highlight w:val="none"/>
        </w:rPr>
        <w:t>(2)车货总宽度超过 2.55 米</w:t>
      </w:r>
      <w:r>
        <w:rPr>
          <w:rFonts w:hint="eastAsia"/>
          <w:color w:val="auto"/>
          <w:szCs w:val="21"/>
          <w:highlight w:val="none"/>
          <w:lang w:eastAsia="zh-CN"/>
        </w:rPr>
        <w:t>；</w:t>
      </w:r>
      <w:r>
        <w:rPr>
          <w:color w:val="auto"/>
          <w:szCs w:val="21"/>
          <w:highlight w:val="none"/>
        </w:rPr>
        <w:t>(3)车货总长度超过18.1米。超限运输车辆应当依法办理有关许可手续，采取有效措施后，按照指定的时间、路线、速度行驶公路。未经许可，不得擅自行驶公路。当车货总高度从地面算起超过4.5米</w:t>
      </w:r>
      <w:r>
        <w:rPr>
          <w:rFonts w:hint="eastAsia"/>
          <w:color w:val="auto"/>
          <w:szCs w:val="21"/>
          <w:highlight w:val="none"/>
          <w:lang w:eastAsia="zh-CN"/>
        </w:rPr>
        <w:t>，</w:t>
      </w:r>
      <w:r>
        <w:rPr>
          <w:color w:val="auto"/>
          <w:szCs w:val="21"/>
          <w:highlight w:val="none"/>
        </w:rPr>
        <w:t>或者总宽度超过3.75米</w:t>
      </w:r>
      <w:r>
        <w:rPr>
          <w:rFonts w:hint="eastAsia"/>
          <w:color w:val="auto"/>
          <w:szCs w:val="21"/>
          <w:highlight w:val="none"/>
          <w:lang w:eastAsia="zh-CN"/>
        </w:rPr>
        <w:t>：</w:t>
      </w:r>
      <w:r>
        <w:rPr>
          <w:color w:val="auto"/>
          <w:szCs w:val="21"/>
          <w:highlight w:val="none"/>
        </w:rPr>
        <w:t>或者总长度超过28米时，还应当提交记录载货时车货总体外廓尺寸信息的轮廓图和护送方案。</w:t>
      </w:r>
    </w:p>
    <w:p>
      <w:pPr>
        <w:pStyle w:val="4"/>
        <w:numPr>
          <w:ilvl w:val="1"/>
          <w:numId w:val="0"/>
        </w:numPr>
        <w:rPr>
          <w:rFonts w:eastAsia="宋体"/>
          <w:color w:val="auto"/>
          <w:szCs w:val="21"/>
          <w:highlight w:val="none"/>
        </w:rPr>
      </w:pPr>
      <w:r>
        <w:rPr>
          <w:rFonts w:eastAsia="Times New Roman"/>
          <w:b/>
          <w:color w:val="auto"/>
          <w:spacing w:val="20"/>
          <w:szCs w:val="21"/>
          <w:highlight w:val="none"/>
        </w:rPr>
        <w:t>4.3</w:t>
      </w:r>
      <w:r>
        <w:rPr>
          <w:rFonts w:hint="eastAsia" w:eastAsia="Times New Roman"/>
          <w:b/>
          <w:color w:val="auto"/>
          <w:spacing w:val="20"/>
          <w:szCs w:val="21"/>
          <w:highlight w:val="none"/>
        </w:rPr>
        <w:t xml:space="preserve">  </w:t>
      </w:r>
      <w:r>
        <w:rPr>
          <w:rFonts w:hint="eastAsia"/>
          <w:color w:val="auto"/>
          <w:highlight w:val="none"/>
        </w:rPr>
        <w:t>建筑平面、立面设计</w:t>
      </w:r>
    </w:p>
    <w:p>
      <w:pPr>
        <w:rPr>
          <w:color w:val="auto"/>
          <w:highlight w:val="none"/>
        </w:rPr>
      </w:pPr>
      <w:r>
        <w:rPr>
          <w:rFonts w:eastAsia="Times New Roman"/>
          <w:b/>
          <w:color w:val="auto"/>
          <w:spacing w:val="28"/>
          <w:szCs w:val="21"/>
          <w:highlight w:val="none"/>
        </w:rPr>
        <w:t>4.3.</w:t>
      </w:r>
      <w:r>
        <w:rPr>
          <w:rFonts w:hint="eastAsia" w:eastAsia="Times New Roman"/>
          <w:b/>
          <w:color w:val="auto"/>
          <w:spacing w:val="28"/>
          <w:szCs w:val="21"/>
          <w:highlight w:val="none"/>
        </w:rPr>
        <w:t>2</w:t>
      </w:r>
      <w:r>
        <w:rPr>
          <w:rFonts w:hint="eastAsia" w:eastAsia="Times New Roman"/>
          <w:b/>
          <w:color w:val="auto"/>
          <w:szCs w:val="21"/>
          <w:highlight w:val="none"/>
        </w:rPr>
        <w:t xml:space="preserve">  </w:t>
      </w:r>
      <w:r>
        <w:rPr>
          <w:rFonts w:hint="eastAsia"/>
          <w:color w:val="auto"/>
          <w:highlight w:val="none"/>
        </w:rPr>
        <w:t>模块单元拆分时，宜以功能房间为单位；当卫生间、厨房等房间尺寸较小且相邻时，可将卫生间与厨房作为整体模块；当卫生间或厨房与卧室相邻时，可将其与卧室作为整体模块，从而减少模块数量，提高安装效率。</w:t>
      </w:r>
    </w:p>
    <w:p>
      <w:pPr>
        <w:rPr>
          <w:color w:val="auto"/>
          <w:highlight w:val="none"/>
        </w:rPr>
      </w:pPr>
      <w:r>
        <w:rPr>
          <w:rFonts w:eastAsia="Times New Roman"/>
          <w:b/>
          <w:color w:val="auto"/>
          <w:spacing w:val="28"/>
          <w:szCs w:val="21"/>
          <w:highlight w:val="none"/>
        </w:rPr>
        <w:t>4.3.</w:t>
      </w:r>
      <w:r>
        <w:rPr>
          <w:rFonts w:hint="eastAsia" w:eastAsia="Times New Roman"/>
          <w:b/>
          <w:color w:val="auto"/>
          <w:spacing w:val="28"/>
          <w:szCs w:val="21"/>
          <w:highlight w:val="none"/>
        </w:rPr>
        <w:t>3</w:t>
      </w:r>
      <w:r>
        <w:rPr>
          <w:rFonts w:hint="eastAsia" w:eastAsia="Times New Roman"/>
          <w:b/>
          <w:color w:val="auto"/>
          <w:szCs w:val="21"/>
          <w:highlight w:val="none"/>
        </w:rPr>
        <w:t xml:space="preserve">  </w:t>
      </w:r>
      <w:r>
        <w:rPr>
          <w:rFonts w:hint="eastAsia"/>
          <w:color w:val="auto"/>
          <w:highlight w:val="none"/>
        </w:rPr>
        <w:t>在模块化建筑设计中，通过精心安排平面与立面的模块单元错位，可以达成更为复杂和精致的视觉呈现。设计者应运用建筑体量、材料质感以及色彩的多样性，以实现建筑立面的多样化效果。鉴于模块化建筑的固有属性，模块单元间将不可避免地形成接缝。因此，在进行立面设计时，必须对这些接缝的界面效应进行周密的考量。</w:t>
      </w:r>
    </w:p>
    <w:p>
      <w:pPr>
        <w:pStyle w:val="4"/>
        <w:numPr>
          <w:ilvl w:val="1"/>
          <w:numId w:val="0"/>
        </w:numPr>
        <w:rPr>
          <w:color w:val="auto"/>
          <w:highlight w:val="none"/>
        </w:rPr>
      </w:pPr>
      <w:r>
        <w:rPr>
          <w:rFonts w:eastAsia="Times New Roman"/>
          <w:b/>
          <w:color w:val="auto"/>
          <w:spacing w:val="20"/>
          <w:szCs w:val="21"/>
          <w:highlight w:val="none"/>
        </w:rPr>
        <w:t>4.</w:t>
      </w:r>
      <w:r>
        <w:rPr>
          <w:rFonts w:hint="eastAsia" w:eastAsia="Times New Roman"/>
          <w:b/>
          <w:color w:val="auto"/>
          <w:spacing w:val="20"/>
          <w:szCs w:val="21"/>
          <w:highlight w:val="none"/>
        </w:rPr>
        <w:t xml:space="preserve">4  </w:t>
      </w:r>
      <w:r>
        <w:rPr>
          <w:rFonts w:hint="eastAsia"/>
          <w:color w:val="auto"/>
          <w:highlight w:val="none"/>
        </w:rPr>
        <w:t>构造要求</w:t>
      </w:r>
    </w:p>
    <w:p>
      <w:pPr>
        <w:pStyle w:val="74"/>
        <w:ind w:firstLine="0" w:firstLineChars="0"/>
        <w:rPr>
          <w:rFonts w:eastAsia="宋体"/>
          <w:color w:val="auto"/>
          <w:szCs w:val="21"/>
          <w:highlight w:val="none"/>
        </w:rPr>
      </w:pPr>
      <w:r>
        <w:rPr>
          <w:rFonts w:eastAsia="Times New Roman"/>
          <w:b/>
          <w:color w:val="auto"/>
          <w:spacing w:val="28"/>
          <w:szCs w:val="21"/>
          <w:highlight w:val="none"/>
        </w:rPr>
        <w:t>4.4.</w:t>
      </w:r>
      <w:r>
        <w:rPr>
          <w:rFonts w:hint="eastAsia" w:eastAsia="Times New Roman"/>
          <w:b/>
          <w:color w:val="auto"/>
          <w:spacing w:val="28"/>
          <w:szCs w:val="21"/>
          <w:highlight w:val="none"/>
        </w:rPr>
        <w:t>2</w:t>
      </w:r>
      <w:r>
        <w:rPr>
          <w:rFonts w:hint="eastAsia" w:eastAsia="Times New Roman"/>
          <w:b/>
          <w:color w:val="auto"/>
          <w:szCs w:val="21"/>
          <w:highlight w:val="none"/>
        </w:rPr>
        <w:t xml:space="preserve">  </w:t>
      </w:r>
      <w:r>
        <w:rPr>
          <w:rFonts w:hint="eastAsia" w:eastAsia="宋体"/>
          <w:color w:val="auto"/>
          <w:szCs w:val="21"/>
          <w:highlight w:val="none"/>
        </w:rPr>
        <w:t>对于混凝土模块建筑，模块单元间外墙防水典型的做法可参考本导则设计，如图2</w:t>
      </w:r>
      <w:r>
        <w:rPr>
          <w:rFonts w:hint="eastAsia" w:eastAsia="宋体"/>
          <w:color w:val="auto"/>
          <w:szCs w:val="21"/>
          <w:highlight w:val="none"/>
          <w:lang w:eastAsia="zh-CN"/>
        </w:rPr>
        <w:t>－</w:t>
      </w:r>
      <w:r>
        <w:rPr>
          <w:rFonts w:hint="eastAsia" w:eastAsia="宋体"/>
          <w:color w:val="auto"/>
          <w:szCs w:val="21"/>
          <w:highlight w:val="none"/>
        </w:rPr>
        <w:t>图5所示。</w:t>
      </w:r>
    </w:p>
    <w:tbl>
      <w:tblPr>
        <w:tblStyle w:val="24"/>
        <w:tblW w:w="9976" w:type="dxa"/>
        <w:jc w:val="center"/>
        <w:tblLayout w:type="autofit"/>
        <w:tblCellMar>
          <w:top w:w="0" w:type="dxa"/>
          <w:left w:w="108" w:type="dxa"/>
          <w:bottom w:w="0" w:type="dxa"/>
          <w:right w:w="108" w:type="dxa"/>
        </w:tblCellMar>
      </w:tblPr>
      <w:tblGrid>
        <w:gridCol w:w="5034"/>
        <w:gridCol w:w="4942"/>
      </w:tblGrid>
      <w:tr>
        <w:tblPrEx>
          <w:tblCellMar>
            <w:top w:w="0" w:type="dxa"/>
            <w:left w:w="108" w:type="dxa"/>
            <w:bottom w:w="0" w:type="dxa"/>
            <w:right w:w="108" w:type="dxa"/>
          </w:tblCellMar>
        </w:tblPrEx>
        <w:trPr>
          <w:trHeight w:val="3583" w:hRule="atLeast"/>
          <w:jc w:val="center"/>
        </w:trPr>
        <w:tc>
          <w:tcPr>
            <w:tcW w:w="5034" w:type="dxa"/>
            <w:vAlign w:val="center"/>
          </w:tcPr>
          <w:p>
            <w:pPr>
              <w:tabs>
                <w:tab w:val="left" w:pos="0"/>
              </w:tabs>
              <w:adjustRightInd w:val="0"/>
              <w:snapToGrid w:val="0"/>
              <w:jc w:val="center"/>
              <w:rPr>
                <w:rFonts w:hint="eastAsia" w:ascii="宋体" w:hAnsi="宋体" w:cs="宋体"/>
                <w:color w:val="auto"/>
                <w:highlight w:val="none"/>
              </w:rPr>
            </w:pPr>
            <w:r>
              <w:rPr>
                <w:rFonts w:hint="eastAsia" w:ascii="宋体" w:hAnsi="宋体" w:cs="宋体"/>
                <w:color w:val="auto"/>
                <w:highlight w:val="none"/>
              </w:rPr>
              <w:drawing>
                <wp:inline distT="0" distB="0" distL="114300" distR="114300">
                  <wp:extent cx="2132330" cy="2137410"/>
                  <wp:effectExtent l="0" t="0" r="1270" b="11430"/>
                  <wp:docPr id="84" name="图片 2" descr="E:\桌面\田林路 65 弄旧住房拆除重建项目\1121\送审稿\图修改\1\1_00.png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 descr="E:\桌面\田林路 65 弄旧住房拆除重建项目\1121\送审稿\图修改\1\1_00.png1_00"/>
                          <pic:cNvPicPr>
                            <a:picLocks noChangeAspect="1"/>
                          </pic:cNvPicPr>
                        </pic:nvPicPr>
                        <pic:blipFill>
                          <a:blip r:embed="rId39"/>
                          <a:stretch>
                            <a:fillRect/>
                          </a:stretch>
                        </pic:blipFill>
                        <pic:spPr>
                          <a:xfrm>
                            <a:off x="0" y="0"/>
                            <a:ext cx="2132330" cy="2137410"/>
                          </a:xfrm>
                          <a:prstGeom prst="rect">
                            <a:avLst/>
                          </a:prstGeom>
                          <a:noFill/>
                          <a:ln>
                            <a:noFill/>
                          </a:ln>
                        </pic:spPr>
                      </pic:pic>
                    </a:graphicData>
                  </a:graphic>
                </wp:inline>
              </w:drawing>
            </w:r>
          </w:p>
        </w:tc>
        <w:tc>
          <w:tcPr>
            <w:tcW w:w="4942" w:type="dxa"/>
            <w:vAlign w:val="center"/>
          </w:tcPr>
          <w:p>
            <w:pPr>
              <w:tabs>
                <w:tab w:val="left" w:pos="0"/>
              </w:tabs>
              <w:adjustRightInd w:val="0"/>
              <w:snapToGrid w:val="0"/>
              <w:jc w:val="center"/>
              <w:rPr>
                <w:rFonts w:hint="eastAsia" w:ascii="宋体" w:hAnsi="宋体" w:cs="宋体"/>
                <w:color w:val="auto"/>
                <w:highlight w:val="none"/>
              </w:rPr>
            </w:pPr>
            <w:r>
              <w:rPr>
                <w:rFonts w:hint="eastAsia" w:ascii="宋体" w:hAnsi="宋体" w:cs="宋体"/>
                <w:color w:val="auto"/>
                <w:highlight w:val="none"/>
              </w:rPr>
              <w:drawing>
                <wp:inline distT="0" distB="0" distL="114300" distR="114300">
                  <wp:extent cx="2856230" cy="1708785"/>
                  <wp:effectExtent l="0" t="0" r="8890" b="13335"/>
                  <wp:docPr id="85" name="图片 3" descr="E:\桌面\田林路 65 弄旧住房拆除重建项目\1121\送审稿\图修改\2\2_00.png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 descr="E:\桌面\田林路 65 弄旧住房拆除重建项目\1121\送审稿\图修改\2\2_00.png2_00"/>
                          <pic:cNvPicPr>
                            <a:picLocks noChangeAspect="1"/>
                          </pic:cNvPicPr>
                        </pic:nvPicPr>
                        <pic:blipFill>
                          <a:blip r:embed="rId40"/>
                          <a:stretch>
                            <a:fillRect/>
                          </a:stretch>
                        </pic:blipFill>
                        <pic:spPr>
                          <a:xfrm>
                            <a:off x="0" y="0"/>
                            <a:ext cx="2856230" cy="170878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708" w:hRule="atLeast"/>
          <w:jc w:val="center"/>
        </w:trPr>
        <w:tc>
          <w:tcPr>
            <w:tcW w:w="5034" w:type="dxa"/>
            <w:vAlign w:val="center"/>
          </w:tcPr>
          <w:p>
            <w:pPr>
              <w:rPr>
                <w:rFonts w:hint="eastAsia" w:ascii="宋体" w:hAnsi="宋体" w:cs="宋体"/>
                <w:color w:val="auto"/>
                <w:highlight w:val="none"/>
              </w:rPr>
            </w:pPr>
            <w:r>
              <w:rPr>
                <w:rFonts w:hint="eastAsia" w:ascii="宋体" w:hAnsi="宋体" w:cs="宋体"/>
                <w:color w:val="auto"/>
                <w:highlight w:val="none"/>
              </w:rPr>
              <w:t>图2  模块单元外墙竖向拼缝间防水处理示意图</w:t>
            </w:r>
          </w:p>
        </w:tc>
        <w:tc>
          <w:tcPr>
            <w:tcW w:w="4942" w:type="dxa"/>
            <w:vAlign w:val="center"/>
          </w:tcPr>
          <w:p>
            <w:pPr>
              <w:jc w:val="center"/>
              <w:rPr>
                <w:rFonts w:hint="eastAsia" w:ascii="宋体" w:hAnsi="宋体" w:cs="宋体"/>
                <w:color w:val="auto"/>
                <w:highlight w:val="none"/>
              </w:rPr>
            </w:pPr>
            <w:r>
              <w:rPr>
                <w:rFonts w:hint="eastAsia" w:ascii="宋体" w:hAnsi="宋体" w:cs="宋体"/>
                <w:color w:val="auto"/>
                <w:highlight w:val="none"/>
              </w:rPr>
              <w:t>图3  模块单元外墙水平拼缝间防水处理示意图</w:t>
            </w:r>
          </w:p>
        </w:tc>
      </w:tr>
      <w:tr>
        <w:tblPrEx>
          <w:tblCellMar>
            <w:top w:w="0" w:type="dxa"/>
            <w:left w:w="108" w:type="dxa"/>
            <w:bottom w:w="0" w:type="dxa"/>
            <w:right w:w="108" w:type="dxa"/>
          </w:tblCellMar>
        </w:tblPrEx>
        <w:trPr>
          <w:trHeight w:val="3647" w:hRule="atLeast"/>
          <w:jc w:val="center"/>
        </w:trPr>
        <w:tc>
          <w:tcPr>
            <w:tcW w:w="5034" w:type="dxa"/>
            <w:vAlign w:val="center"/>
          </w:tcPr>
          <w:p>
            <w:pPr>
              <w:tabs>
                <w:tab w:val="left" w:pos="0"/>
              </w:tabs>
              <w:adjustRightInd w:val="0"/>
              <w:snapToGrid w:val="0"/>
              <w:jc w:val="center"/>
              <w:rPr>
                <w:rFonts w:hint="eastAsia" w:ascii="宋体" w:hAnsi="宋体" w:cs="宋体"/>
                <w:color w:val="auto"/>
                <w:highlight w:val="none"/>
              </w:rPr>
            </w:pPr>
            <w:r>
              <w:rPr>
                <w:rFonts w:hint="eastAsia" w:ascii="宋体" w:hAnsi="宋体" w:cs="宋体"/>
                <w:color w:val="auto"/>
                <w:highlight w:val="none"/>
              </w:rPr>
              <w:drawing>
                <wp:inline distT="0" distB="0" distL="114300" distR="114300">
                  <wp:extent cx="1908175" cy="2137410"/>
                  <wp:effectExtent l="0" t="0" r="12065" b="11430"/>
                  <wp:docPr id="86" name="图片 72" descr="E:\桌面\田林路 65 弄旧住房拆除重建项目\1121\送审稿\图修改\3\3_00.png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2" descr="E:\桌面\田林路 65 弄旧住房拆除重建项目\1121\送审稿\图修改\3\3_00.png3_00"/>
                          <pic:cNvPicPr>
                            <a:picLocks noChangeAspect="1"/>
                          </pic:cNvPicPr>
                        </pic:nvPicPr>
                        <pic:blipFill>
                          <a:blip r:embed="rId41"/>
                          <a:stretch>
                            <a:fillRect/>
                          </a:stretch>
                        </pic:blipFill>
                        <pic:spPr>
                          <a:xfrm>
                            <a:off x="0" y="0"/>
                            <a:ext cx="1908175" cy="2137410"/>
                          </a:xfrm>
                          <a:prstGeom prst="rect">
                            <a:avLst/>
                          </a:prstGeom>
                          <a:noFill/>
                          <a:ln>
                            <a:noFill/>
                          </a:ln>
                        </pic:spPr>
                      </pic:pic>
                    </a:graphicData>
                  </a:graphic>
                </wp:inline>
              </w:drawing>
            </w:r>
          </w:p>
        </w:tc>
        <w:tc>
          <w:tcPr>
            <w:tcW w:w="4942" w:type="dxa"/>
            <w:vAlign w:val="center"/>
          </w:tcPr>
          <w:p>
            <w:pPr>
              <w:tabs>
                <w:tab w:val="left" w:pos="0"/>
              </w:tabs>
              <w:adjustRightInd w:val="0"/>
              <w:snapToGrid w:val="0"/>
              <w:jc w:val="center"/>
              <w:rPr>
                <w:rFonts w:hint="eastAsia" w:ascii="宋体" w:hAnsi="宋体" w:cs="宋体"/>
                <w:color w:val="auto"/>
                <w:highlight w:val="none"/>
              </w:rPr>
            </w:pPr>
            <w:r>
              <w:rPr>
                <w:rFonts w:hint="eastAsia" w:ascii="宋体" w:hAnsi="宋体" w:cs="宋体"/>
                <w:color w:val="auto"/>
                <w:highlight w:val="none"/>
              </w:rPr>
              <w:drawing>
                <wp:inline distT="0" distB="0" distL="114300" distR="114300">
                  <wp:extent cx="1543685" cy="2174875"/>
                  <wp:effectExtent l="0" t="0" r="10795" b="4445"/>
                  <wp:docPr id="87" name="图片 75" descr="E:\桌面\田林路 65 弄旧住房拆除重建项目\1121\送审稿\图修改\4\4_00.png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5" descr="E:\桌面\田林路 65 弄旧住房拆除重建项目\1121\送审稿\图修改\4\4_00.png4_00"/>
                          <pic:cNvPicPr>
                            <a:picLocks noChangeAspect="1"/>
                          </pic:cNvPicPr>
                        </pic:nvPicPr>
                        <pic:blipFill>
                          <a:blip r:embed="rId42"/>
                          <a:stretch>
                            <a:fillRect/>
                          </a:stretch>
                        </pic:blipFill>
                        <pic:spPr>
                          <a:xfrm>
                            <a:off x="0" y="0"/>
                            <a:ext cx="1543685" cy="217487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708" w:hRule="atLeast"/>
          <w:jc w:val="center"/>
        </w:trPr>
        <w:tc>
          <w:tcPr>
            <w:tcW w:w="5034" w:type="dxa"/>
            <w:vAlign w:val="center"/>
          </w:tcPr>
          <w:p>
            <w:pPr>
              <w:jc w:val="left"/>
              <w:rPr>
                <w:rFonts w:hint="eastAsia" w:ascii="宋体" w:hAnsi="宋体" w:cs="宋体"/>
                <w:color w:val="auto"/>
                <w:highlight w:val="none"/>
              </w:rPr>
            </w:pPr>
            <w:r>
              <w:rPr>
                <w:rFonts w:hint="eastAsia" w:ascii="宋体" w:hAnsi="宋体" w:cs="宋体"/>
                <w:color w:val="auto"/>
                <w:highlight w:val="none"/>
              </w:rPr>
              <w:t>图4  顶层模块单元竖向拼缝间防水处理示意图</w:t>
            </w:r>
          </w:p>
        </w:tc>
        <w:tc>
          <w:tcPr>
            <w:tcW w:w="4942" w:type="dxa"/>
            <w:vAlign w:val="center"/>
          </w:tcPr>
          <w:p>
            <w:pPr>
              <w:jc w:val="left"/>
              <w:rPr>
                <w:rFonts w:hint="eastAsia" w:ascii="宋体" w:hAnsi="宋体" w:cs="宋体"/>
                <w:color w:val="auto"/>
                <w:highlight w:val="none"/>
              </w:rPr>
            </w:pPr>
            <w:r>
              <w:rPr>
                <w:rFonts w:hint="eastAsia" w:ascii="宋体" w:hAnsi="宋体" w:cs="宋体"/>
                <w:color w:val="auto"/>
                <w:highlight w:val="none"/>
              </w:rPr>
              <w:t>图5  每层模块单元拼缝间导水处理示意图</w:t>
            </w:r>
          </w:p>
        </w:tc>
      </w:tr>
    </w:tbl>
    <w:p>
      <w:pPr>
        <w:widowControl/>
        <w:jc w:val="left"/>
        <w:rPr>
          <w:color w:val="auto"/>
          <w:highlight w:val="none"/>
        </w:rPr>
      </w:pPr>
      <w:r>
        <w:rPr>
          <w:color w:val="auto"/>
          <w:highlight w:val="none"/>
        </w:rPr>
        <w:br w:type="page"/>
      </w:r>
    </w:p>
    <w:p>
      <w:pPr>
        <w:pStyle w:val="2"/>
        <w:numPr>
          <w:ilvl w:val="-1"/>
          <w:numId w:val="0"/>
        </w:numPr>
        <w:rPr>
          <w:rFonts w:hint="eastAsia"/>
          <w:b/>
          <w:color w:val="auto"/>
          <w:highlight w:val="none"/>
        </w:rPr>
      </w:pPr>
      <w:r>
        <w:rPr>
          <w:rFonts w:hint="eastAsia"/>
          <w:b/>
          <w:color w:val="auto"/>
          <w:highlight w:val="none"/>
        </w:rPr>
        <w:t>5 结构设计</w:t>
      </w:r>
    </w:p>
    <w:p>
      <w:pPr>
        <w:pStyle w:val="4"/>
        <w:numPr>
          <w:ilvl w:val="1"/>
          <w:numId w:val="0"/>
        </w:numPr>
        <w:rPr>
          <w:color w:val="auto"/>
          <w:highlight w:val="none"/>
        </w:rPr>
      </w:pPr>
      <w:r>
        <w:rPr>
          <w:rFonts w:eastAsia="Times New Roman"/>
          <w:b/>
          <w:color w:val="auto"/>
          <w:spacing w:val="20"/>
          <w:szCs w:val="21"/>
          <w:highlight w:val="none"/>
        </w:rPr>
        <w:t>5.</w:t>
      </w:r>
      <w:r>
        <w:rPr>
          <w:rFonts w:hint="eastAsia" w:eastAsia="Times New Roman"/>
          <w:b/>
          <w:color w:val="auto"/>
          <w:spacing w:val="20"/>
          <w:szCs w:val="21"/>
          <w:highlight w:val="none"/>
        </w:rPr>
        <w:t xml:space="preserve">2  </w:t>
      </w:r>
      <w:r>
        <w:rPr>
          <w:rFonts w:hint="eastAsia"/>
          <w:color w:val="auto"/>
          <w:highlight w:val="none"/>
        </w:rPr>
        <w:t>结构体系</w:t>
      </w:r>
    </w:p>
    <w:p>
      <w:pPr>
        <w:rPr>
          <w:color w:val="auto"/>
          <w:highlight w:val="none"/>
        </w:rPr>
      </w:pPr>
      <w:r>
        <w:rPr>
          <w:rFonts w:eastAsia="Times New Roman"/>
          <w:b/>
          <w:color w:val="auto"/>
          <w:spacing w:val="28"/>
          <w:szCs w:val="21"/>
          <w:highlight w:val="none"/>
        </w:rPr>
        <w:t>5.</w:t>
      </w:r>
      <w:r>
        <w:rPr>
          <w:rFonts w:hint="eastAsia" w:eastAsia="Times New Roman"/>
          <w:b/>
          <w:color w:val="auto"/>
          <w:spacing w:val="28"/>
          <w:szCs w:val="21"/>
          <w:highlight w:val="none"/>
        </w:rPr>
        <w:t>2</w:t>
      </w:r>
      <w:r>
        <w:rPr>
          <w:rFonts w:eastAsia="Times New Roman"/>
          <w:b/>
          <w:color w:val="auto"/>
          <w:spacing w:val="28"/>
          <w:szCs w:val="21"/>
          <w:highlight w:val="none"/>
        </w:rPr>
        <w:t>.</w:t>
      </w:r>
      <w:r>
        <w:rPr>
          <w:rFonts w:hint="eastAsia" w:eastAsia="Times New Roman"/>
          <w:b/>
          <w:color w:val="auto"/>
          <w:spacing w:val="28"/>
          <w:szCs w:val="21"/>
          <w:highlight w:val="none"/>
          <w:lang w:eastAsia="zh"/>
        </w:rPr>
        <w:t>4</w:t>
      </w:r>
      <w:r>
        <w:rPr>
          <w:rFonts w:hint="eastAsia" w:eastAsia="Times New Roman"/>
          <w:b/>
          <w:color w:val="auto"/>
          <w:szCs w:val="21"/>
          <w:highlight w:val="none"/>
        </w:rPr>
        <w:t xml:space="preserve">  </w:t>
      </w:r>
      <w:r>
        <w:rPr>
          <w:rFonts w:hint="eastAsia"/>
          <w:color w:val="auto"/>
          <w:highlight w:val="none"/>
        </w:rPr>
        <w:t>对于模块化剪力墙结构和模块化箱模结构，通过试验及分析研究表明，其传力路径、受力体系及抗震性能与装配整体式剪力墙结构和现浇结构并无显著差异，当前时期模块化建筑在上海市的工程实践较少，控制整体高度不宜大于100米，住宅类项目不宜大于80米，随着技术的发展成熟，可根据情况，按照上海市《建筑抗震设计标准》DB/TJ 08-9中装配整体式剪力墙结构和现浇结构的适用高度执行。</w:t>
      </w:r>
    </w:p>
    <w:p>
      <w:pPr>
        <w:rPr>
          <w:color w:val="auto"/>
          <w:highlight w:val="none"/>
        </w:rPr>
      </w:pPr>
      <w:r>
        <w:rPr>
          <w:rFonts w:hint="eastAsia" w:eastAsia="Times New Roman"/>
          <w:b/>
          <w:color w:val="auto"/>
          <w:spacing w:val="28"/>
          <w:szCs w:val="21"/>
          <w:highlight w:val="none"/>
        </w:rPr>
        <w:t>5.2.</w:t>
      </w:r>
      <w:r>
        <w:rPr>
          <w:rFonts w:hint="eastAsia"/>
          <w:b/>
          <w:color w:val="auto"/>
          <w:spacing w:val="28"/>
          <w:szCs w:val="21"/>
          <w:highlight w:val="none"/>
        </w:rPr>
        <w:t>12</w:t>
      </w:r>
      <w:r>
        <w:rPr>
          <w:rFonts w:hint="eastAsia" w:eastAsia="Times New Roman"/>
          <w:b/>
          <w:color w:val="auto"/>
          <w:szCs w:val="21"/>
          <w:highlight w:val="none"/>
        </w:rPr>
        <w:t xml:space="preserve">  </w:t>
      </w:r>
      <w:r>
        <w:rPr>
          <w:rFonts w:hint="eastAsia"/>
          <w:color w:val="auto"/>
          <w:highlight w:val="none"/>
        </w:rPr>
        <w:t>模块化全预制剪力墙结构竖向连接节点示意如图6所示。</w:t>
      </w:r>
    </w:p>
    <w:tbl>
      <w:tblPr>
        <w:tblStyle w:val="24"/>
        <w:tblW w:w="0" w:type="auto"/>
        <w:tblInd w:w="0" w:type="dxa"/>
        <w:tblLayout w:type="autofit"/>
        <w:tblCellMar>
          <w:top w:w="0" w:type="dxa"/>
          <w:left w:w="108" w:type="dxa"/>
          <w:bottom w:w="0" w:type="dxa"/>
          <w:right w:w="108" w:type="dxa"/>
        </w:tblCellMar>
      </w:tblPr>
      <w:tblGrid>
        <w:gridCol w:w="4880"/>
        <w:gridCol w:w="4600"/>
      </w:tblGrid>
      <w:tr>
        <w:tblPrEx>
          <w:tblCellMar>
            <w:top w:w="0" w:type="dxa"/>
            <w:left w:w="108" w:type="dxa"/>
            <w:bottom w:w="0" w:type="dxa"/>
            <w:right w:w="108" w:type="dxa"/>
          </w:tblCellMar>
        </w:tblPrEx>
        <w:tc>
          <w:tcPr>
            <w:tcW w:w="4880" w:type="dxa"/>
            <w:vAlign w:val="center"/>
          </w:tcPr>
          <w:p>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2228215" cy="1948180"/>
                  <wp:effectExtent l="0" t="0" r="12065" b="2540"/>
                  <wp:docPr id="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
                          <pic:cNvPicPr>
                            <a:picLocks noChangeAspect="1"/>
                          </pic:cNvPicPr>
                        </pic:nvPicPr>
                        <pic:blipFill>
                          <a:blip r:embed="rId43"/>
                          <a:stretch>
                            <a:fillRect/>
                          </a:stretch>
                        </pic:blipFill>
                        <pic:spPr>
                          <a:xfrm>
                            <a:off x="0" y="0"/>
                            <a:ext cx="2228215" cy="1948180"/>
                          </a:xfrm>
                          <a:prstGeom prst="rect">
                            <a:avLst/>
                          </a:prstGeom>
                          <a:noFill/>
                          <a:ln>
                            <a:noFill/>
                          </a:ln>
                        </pic:spPr>
                      </pic:pic>
                    </a:graphicData>
                  </a:graphic>
                </wp:inline>
              </w:drawing>
            </w:r>
          </w:p>
        </w:tc>
        <w:tc>
          <w:tcPr>
            <w:tcW w:w="4600" w:type="dxa"/>
            <w:vAlign w:val="center"/>
          </w:tcPr>
          <w:p>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2233295" cy="2024380"/>
                  <wp:effectExtent l="0" t="0" r="6985" b="2540"/>
                  <wp:docPr id="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
                          <pic:cNvPicPr>
                            <a:picLocks noChangeAspect="1"/>
                          </pic:cNvPicPr>
                        </pic:nvPicPr>
                        <pic:blipFill>
                          <a:blip r:embed="rId44"/>
                          <a:stretch>
                            <a:fillRect/>
                          </a:stretch>
                        </pic:blipFill>
                        <pic:spPr>
                          <a:xfrm>
                            <a:off x="0" y="0"/>
                            <a:ext cx="2233295" cy="2024380"/>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4880" w:type="dxa"/>
            <w:vAlign w:val="center"/>
          </w:tcPr>
          <w:p>
            <w:pPr>
              <w:tabs>
                <w:tab w:val="left" w:pos="0"/>
              </w:tabs>
              <w:jc w:val="center"/>
              <w:rPr>
                <w:rFonts w:hint="eastAsia" w:ascii="宋体" w:hAnsi="宋体" w:cs="宋体"/>
                <w:bCs/>
                <w:color w:val="auto"/>
                <w:szCs w:val="21"/>
                <w:highlight w:val="none"/>
              </w:rPr>
            </w:pPr>
            <w:r>
              <w:rPr>
                <w:rFonts w:hint="eastAsia" w:ascii="宋体" w:hAnsi="宋体" w:cs="宋体"/>
                <w:bCs/>
                <w:color w:val="auto"/>
                <w:szCs w:val="21"/>
                <w:highlight w:val="none"/>
              </w:rPr>
              <w:t>(a) 全预制剪力墙式模块单元剪力墙、楼板连接节点</w:t>
            </w:r>
          </w:p>
        </w:tc>
        <w:tc>
          <w:tcPr>
            <w:tcW w:w="4600" w:type="dxa"/>
            <w:vAlign w:val="center"/>
          </w:tcPr>
          <w:p>
            <w:pPr>
              <w:tabs>
                <w:tab w:val="left" w:pos="0"/>
              </w:tabs>
              <w:jc w:val="center"/>
              <w:rPr>
                <w:rFonts w:hint="eastAsia" w:ascii="宋体" w:hAnsi="宋体" w:cs="宋体"/>
                <w:bCs/>
                <w:color w:val="auto"/>
                <w:szCs w:val="21"/>
                <w:highlight w:val="none"/>
              </w:rPr>
            </w:pPr>
            <w:r>
              <w:rPr>
                <w:rFonts w:hint="eastAsia" w:ascii="宋体" w:hAnsi="宋体" w:cs="宋体"/>
                <w:bCs/>
                <w:color w:val="auto"/>
                <w:szCs w:val="21"/>
                <w:highlight w:val="none"/>
              </w:rPr>
              <w:t>(b) 全预制剪力墙式模块单元梁、楼板连接节点</w:t>
            </w:r>
          </w:p>
        </w:tc>
      </w:tr>
    </w:tbl>
    <w:p>
      <w:pPr>
        <w:ind w:firstLine="360"/>
        <w:jc w:val="center"/>
        <w:rPr>
          <w:rFonts w:hint="eastAsia" w:ascii="宋体" w:hAnsi="宋体" w:cs="宋体"/>
          <w:bCs/>
          <w:color w:val="auto"/>
          <w:szCs w:val="21"/>
          <w:highlight w:val="none"/>
        </w:rPr>
      </w:pPr>
      <w:r>
        <w:rPr>
          <w:rFonts w:hint="eastAsia" w:ascii="宋体" w:hAnsi="宋体" w:cs="宋体"/>
          <w:bCs/>
          <w:color w:val="auto"/>
          <w:szCs w:val="21"/>
          <w:highlight w:val="none"/>
        </w:rPr>
        <w:t>图6  模块化全预制剪力墙结构竖向连接节点示意</w:t>
      </w:r>
    </w:p>
    <w:p>
      <w:pPr>
        <w:ind w:firstLine="360"/>
        <w:jc w:val="center"/>
        <w:rPr>
          <w:rFonts w:hint="eastAsia" w:ascii="宋体" w:hAnsi="宋体" w:cs="宋体"/>
          <w:bCs/>
          <w:color w:val="auto"/>
          <w:szCs w:val="21"/>
          <w:highlight w:val="none"/>
        </w:rPr>
      </w:pPr>
      <w:r>
        <w:rPr>
          <w:rFonts w:hint="eastAsia" w:ascii="宋体" w:hAnsi="宋体" w:cs="宋体"/>
          <w:bCs/>
          <w:color w:val="auto"/>
          <w:szCs w:val="21"/>
          <w:highlight w:val="none"/>
        </w:rPr>
        <w:t>1—预制剪力墙；2—左方全预制剪力墙式模块单元隔墙；3—模块拼缝；4—叠合板后浇混凝土；</w:t>
      </w:r>
    </w:p>
    <w:p>
      <w:pPr>
        <w:ind w:firstLine="360"/>
        <w:jc w:val="center"/>
        <w:rPr>
          <w:rFonts w:hint="eastAsia" w:ascii="宋体" w:hAnsi="宋体" w:cs="宋体"/>
          <w:bCs/>
          <w:color w:val="auto"/>
          <w:szCs w:val="21"/>
          <w:highlight w:val="none"/>
        </w:rPr>
      </w:pPr>
      <w:r>
        <w:rPr>
          <w:rFonts w:hint="eastAsia" w:ascii="宋体" w:hAnsi="宋体" w:cs="宋体"/>
          <w:bCs/>
          <w:color w:val="auto"/>
          <w:szCs w:val="21"/>
          <w:highlight w:val="none"/>
        </w:rPr>
        <w:t>5—装饰底板；6—叠合楼板预制部分；7—坐浆层；8—封堵材料；9—柔性层；</w:t>
      </w:r>
    </w:p>
    <w:p>
      <w:pPr>
        <w:ind w:firstLine="360"/>
        <w:jc w:val="center"/>
        <w:rPr>
          <w:rFonts w:hint="eastAsia" w:ascii="宋体" w:hAnsi="宋体" w:cs="宋体"/>
          <w:color w:val="auto"/>
          <w:szCs w:val="21"/>
          <w:highlight w:val="none"/>
        </w:rPr>
      </w:pPr>
      <w:r>
        <w:rPr>
          <w:rFonts w:hint="eastAsia" w:ascii="宋体" w:hAnsi="宋体" w:cs="宋体"/>
          <w:bCs/>
          <w:color w:val="auto"/>
          <w:szCs w:val="21"/>
          <w:highlight w:val="none"/>
        </w:rPr>
        <w:t>10—模块隔墙；11—梁壳</w:t>
      </w:r>
    </w:p>
    <w:p>
      <w:pPr>
        <w:rPr>
          <w:color w:val="auto"/>
          <w:highlight w:val="none"/>
        </w:rPr>
      </w:pPr>
      <w:bookmarkStart w:id="1778" w:name="OLE_LINK2"/>
      <w:r>
        <w:rPr>
          <w:rFonts w:hint="eastAsia" w:eastAsia="Times New Roman"/>
          <w:b/>
          <w:color w:val="auto"/>
          <w:spacing w:val="28"/>
          <w:szCs w:val="21"/>
          <w:highlight w:val="none"/>
        </w:rPr>
        <w:t>5.2.17</w:t>
      </w:r>
      <w:r>
        <w:rPr>
          <w:rFonts w:hint="eastAsia" w:eastAsia="Times New Roman"/>
          <w:b/>
          <w:color w:val="auto"/>
          <w:szCs w:val="21"/>
          <w:highlight w:val="none"/>
        </w:rPr>
        <w:t xml:space="preserve">  </w:t>
      </w:r>
      <w:r>
        <w:rPr>
          <w:rFonts w:hint="eastAsia"/>
          <w:color w:val="auto"/>
          <w:highlight w:val="none"/>
        </w:rPr>
        <w:t>边缘构件叠合剪力墙式模块单元与后浇部分的水平布置示意如图7所示。</w:t>
      </w:r>
    </w:p>
    <w:bookmarkEnd w:id="1778"/>
    <w:tbl>
      <w:tblPr>
        <w:tblStyle w:val="24"/>
        <w:tblW w:w="0" w:type="auto"/>
        <w:tblInd w:w="0" w:type="dxa"/>
        <w:tblLayout w:type="autofit"/>
        <w:tblCellMar>
          <w:top w:w="0" w:type="dxa"/>
          <w:left w:w="108" w:type="dxa"/>
          <w:bottom w:w="0" w:type="dxa"/>
          <w:right w:w="108" w:type="dxa"/>
        </w:tblCellMar>
      </w:tblPr>
      <w:tblGrid>
        <w:gridCol w:w="3160"/>
        <w:gridCol w:w="3160"/>
        <w:gridCol w:w="3160"/>
      </w:tblGrid>
      <w:tr>
        <w:tblPrEx>
          <w:tblCellMar>
            <w:top w:w="0" w:type="dxa"/>
            <w:left w:w="108" w:type="dxa"/>
            <w:bottom w:w="0" w:type="dxa"/>
            <w:right w:w="108" w:type="dxa"/>
          </w:tblCellMar>
        </w:tblPrEx>
        <w:tc>
          <w:tcPr>
            <w:tcW w:w="3160" w:type="dxa"/>
            <w:vAlign w:val="center"/>
          </w:tcPr>
          <w:p>
            <w:pPr>
              <w:adjustRightInd w:val="0"/>
              <w:snapToGrid w:val="0"/>
              <w:jc w:val="center"/>
              <w:rPr>
                <w:rFonts w:hint="eastAsia" w:ascii="宋体" w:hAnsi="宋体" w:cs="宋体"/>
                <w:color w:val="auto"/>
                <w:szCs w:val="21"/>
                <w:highlight w:val="none"/>
              </w:rPr>
            </w:pPr>
            <w:bookmarkStart w:id="1779" w:name="OLE_LINK1"/>
            <w:r>
              <w:rPr>
                <w:rFonts w:hint="eastAsia" w:ascii="宋体" w:hAnsi="宋体" w:cs="宋体"/>
                <w:color w:val="auto"/>
                <w:szCs w:val="21"/>
                <w:highlight w:val="none"/>
              </w:rPr>
              <w:drawing>
                <wp:inline distT="0" distB="0" distL="114300" distR="114300">
                  <wp:extent cx="913130" cy="1979930"/>
                  <wp:effectExtent l="0" t="0" r="1270" b="1270"/>
                  <wp:docPr id="9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3"/>
                          <pic:cNvPicPr>
                            <a:picLocks noChangeAspect="1"/>
                          </pic:cNvPicPr>
                        </pic:nvPicPr>
                        <pic:blipFill>
                          <a:blip r:embed="rId45"/>
                          <a:stretch>
                            <a:fillRect/>
                          </a:stretch>
                        </pic:blipFill>
                        <pic:spPr>
                          <a:xfrm>
                            <a:off x="0" y="0"/>
                            <a:ext cx="913130" cy="1979930"/>
                          </a:xfrm>
                          <a:prstGeom prst="rect">
                            <a:avLst/>
                          </a:prstGeom>
                          <a:noFill/>
                          <a:ln>
                            <a:noFill/>
                          </a:ln>
                        </pic:spPr>
                      </pic:pic>
                    </a:graphicData>
                  </a:graphic>
                </wp:inline>
              </w:drawing>
            </w:r>
          </w:p>
        </w:tc>
        <w:tc>
          <w:tcPr>
            <w:tcW w:w="3160" w:type="dxa"/>
            <w:vAlign w:val="center"/>
          </w:tcPr>
          <w:p>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965835" cy="1979930"/>
                  <wp:effectExtent l="0" t="0" r="9525" b="1270"/>
                  <wp:docPr id="9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4"/>
                          <pic:cNvPicPr>
                            <a:picLocks noChangeAspect="1"/>
                          </pic:cNvPicPr>
                        </pic:nvPicPr>
                        <pic:blipFill>
                          <a:blip r:embed="rId46"/>
                          <a:stretch>
                            <a:fillRect/>
                          </a:stretch>
                        </pic:blipFill>
                        <pic:spPr>
                          <a:xfrm>
                            <a:off x="0" y="0"/>
                            <a:ext cx="965835" cy="1979930"/>
                          </a:xfrm>
                          <a:prstGeom prst="rect">
                            <a:avLst/>
                          </a:prstGeom>
                          <a:noFill/>
                          <a:ln>
                            <a:noFill/>
                          </a:ln>
                        </pic:spPr>
                      </pic:pic>
                    </a:graphicData>
                  </a:graphic>
                </wp:inline>
              </w:drawing>
            </w:r>
          </w:p>
        </w:tc>
        <w:tc>
          <w:tcPr>
            <w:tcW w:w="3160" w:type="dxa"/>
            <w:vAlign w:val="center"/>
          </w:tcPr>
          <w:p>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177925" cy="1979930"/>
                  <wp:effectExtent l="0" t="0" r="10795" b="1270"/>
                  <wp:docPr id="9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5"/>
                          <pic:cNvPicPr>
                            <a:picLocks noChangeAspect="1"/>
                          </pic:cNvPicPr>
                        </pic:nvPicPr>
                        <pic:blipFill>
                          <a:blip r:embed="rId47"/>
                          <a:stretch>
                            <a:fillRect/>
                          </a:stretch>
                        </pic:blipFill>
                        <pic:spPr>
                          <a:xfrm>
                            <a:off x="0" y="0"/>
                            <a:ext cx="1177925" cy="1979930"/>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3160" w:type="dxa"/>
            <w:vAlign w:val="center"/>
          </w:tcPr>
          <w:p>
            <w:pPr>
              <w:tabs>
                <w:tab w:val="left" w:pos="0"/>
              </w:tabs>
              <w:jc w:val="center"/>
              <w:rPr>
                <w:rFonts w:hint="eastAsia" w:ascii="宋体" w:hAnsi="宋体" w:cs="宋体"/>
                <w:bCs/>
                <w:color w:val="auto"/>
                <w:szCs w:val="21"/>
                <w:highlight w:val="none"/>
              </w:rPr>
            </w:pPr>
            <w:r>
              <w:rPr>
                <w:rFonts w:hint="eastAsia" w:ascii="宋体" w:hAnsi="宋体" w:cs="宋体"/>
                <w:bCs/>
                <w:color w:val="auto"/>
                <w:szCs w:val="21"/>
                <w:highlight w:val="none"/>
              </w:rPr>
              <w:t>(a)  一字形墙</w:t>
            </w:r>
          </w:p>
        </w:tc>
        <w:tc>
          <w:tcPr>
            <w:tcW w:w="3160" w:type="dxa"/>
            <w:vAlign w:val="center"/>
          </w:tcPr>
          <w:p>
            <w:pPr>
              <w:tabs>
                <w:tab w:val="left" w:pos="0"/>
              </w:tabs>
              <w:jc w:val="center"/>
              <w:rPr>
                <w:rFonts w:hint="eastAsia" w:ascii="宋体" w:hAnsi="宋体" w:cs="宋体"/>
                <w:bCs/>
                <w:color w:val="auto"/>
                <w:szCs w:val="21"/>
                <w:highlight w:val="none"/>
              </w:rPr>
            </w:pPr>
            <w:r>
              <w:rPr>
                <w:rFonts w:hint="eastAsia" w:ascii="宋体" w:hAnsi="宋体" w:cs="宋体"/>
                <w:bCs/>
                <w:color w:val="auto"/>
                <w:szCs w:val="21"/>
                <w:highlight w:val="none"/>
              </w:rPr>
              <w:t>(b)  L形墙</w:t>
            </w:r>
          </w:p>
        </w:tc>
        <w:tc>
          <w:tcPr>
            <w:tcW w:w="3160" w:type="dxa"/>
            <w:vAlign w:val="center"/>
          </w:tcPr>
          <w:p>
            <w:pPr>
              <w:tabs>
                <w:tab w:val="left" w:pos="0"/>
              </w:tabs>
              <w:jc w:val="center"/>
              <w:rPr>
                <w:rFonts w:hint="eastAsia" w:ascii="宋体" w:hAnsi="宋体" w:cs="宋体"/>
                <w:bCs/>
                <w:color w:val="auto"/>
                <w:szCs w:val="21"/>
                <w:highlight w:val="none"/>
              </w:rPr>
            </w:pPr>
            <w:r>
              <w:rPr>
                <w:rFonts w:hint="eastAsia" w:ascii="宋体" w:hAnsi="宋体" w:cs="宋体"/>
                <w:bCs/>
                <w:color w:val="auto"/>
                <w:szCs w:val="21"/>
                <w:highlight w:val="none"/>
              </w:rPr>
              <w:t>(c)  T字形墙</w:t>
            </w:r>
          </w:p>
        </w:tc>
      </w:tr>
      <w:bookmarkEnd w:id="1779"/>
    </w:tbl>
    <w:p>
      <w:pPr>
        <w:ind w:firstLine="360"/>
        <w:jc w:val="center"/>
        <w:rPr>
          <w:rFonts w:hint="eastAsia" w:ascii="宋体" w:hAnsi="宋体" w:cs="宋体"/>
          <w:bCs/>
          <w:color w:val="auto"/>
          <w:szCs w:val="21"/>
          <w:highlight w:val="none"/>
        </w:rPr>
      </w:pPr>
      <w:r>
        <w:rPr>
          <w:rFonts w:hint="eastAsia" w:ascii="宋体" w:hAnsi="宋体" w:cs="宋体"/>
          <w:bCs/>
          <w:color w:val="auto"/>
          <w:szCs w:val="21"/>
          <w:highlight w:val="none"/>
        </w:rPr>
        <w:t>图7  构造边缘构件叠合剪力墙式模块与后浇部分的水平布置示意</w:t>
      </w:r>
    </w:p>
    <w:p>
      <w:pPr>
        <w:ind w:firstLine="360"/>
        <w:jc w:val="center"/>
        <w:rPr>
          <w:rFonts w:hint="eastAsia" w:ascii="宋体" w:hAnsi="宋体" w:cs="宋体"/>
          <w:bCs/>
          <w:color w:val="auto"/>
          <w:szCs w:val="21"/>
          <w:highlight w:val="none"/>
        </w:rPr>
      </w:pPr>
      <w:r>
        <w:rPr>
          <w:rFonts w:hint="eastAsia" w:ascii="宋体" w:hAnsi="宋体" w:cs="宋体"/>
          <w:bCs/>
          <w:color w:val="auto"/>
          <w:szCs w:val="21"/>
          <w:highlight w:val="none"/>
        </w:rPr>
        <w:t>1—叠合剪力墙后浇部分；2—叠合剪力墙预制墙板；3—左方叠合剪力墙式模块单元墙模；</w:t>
      </w:r>
    </w:p>
    <w:p>
      <w:pPr>
        <w:ind w:firstLine="360"/>
        <w:jc w:val="center"/>
        <w:rPr>
          <w:rFonts w:hint="eastAsia" w:ascii="宋体" w:hAnsi="宋体" w:cs="宋体"/>
          <w:bCs/>
          <w:color w:val="auto"/>
          <w:szCs w:val="21"/>
          <w:highlight w:val="none"/>
        </w:rPr>
      </w:pPr>
      <w:r>
        <w:rPr>
          <w:rFonts w:hint="eastAsia" w:ascii="宋体" w:hAnsi="宋体" w:cs="宋体"/>
          <w:bCs/>
          <w:color w:val="auto"/>
          <w:szCs w:val="21"/>
          <w:highlight w:val="none"/>
        </w:rPr>
        <w:t>4—模块接缝；5—浇筑剪力墙时用模板；6—柔性层；7—封堵材料；8—模块隔墙</w:t>
      </w:r>
    </w:p>
    <w:p>
      <w:pPr>
        <w:rPr>
          <w:color w:val="auto"/>
          <w:highlight w:val="none"/>
        </w:rPr>
      </w:pPr>
      <w:r>
        <w:rPr>
          <w:rFonts w:hint="eastAsia" w:eastAsia="Times New Roman"/>
          <w:b/>
          <w:color w:val="auto"/>
          <w:spacing w:val="28"/>
          <w:szCs w:val="21"/>
          <w:highlight w:val="none"/>
        </w:rPr>
        <w:t>5.2.18</w:t>
      </w:r>
      <w:r>
        <w:rPr>
          <w:rFonts w:hint="eastAsia" w:eastAsia="Times New Roman"/>
          <w:b/>
          <w:color w:val="auto"/>
          <w:szCs w:val="21"/>
          <w:highlight w:val="none"/>
        </w:rPr>
        <w:t xml:space="preserve">  </w:t>
      </w:r>
      <w:r>
        <w:rPr>
          <w:rFonts w:hint="eastAsia"/>
          <w:color w:val="auto"/>
          <w:highlight w:val="none"/>
        </w:rPr>
        <w:t>模块化叠合剪力墙结构竖向连接节点示意如图8所示。</w:t>
      </w:r>
    </w:p>
    <w:tbl>
      <w:tblPr>
        <w:tblStyle w:val="24"/>
        <w:tblW w:w="0" w:type="auto"/>
        <w:tblInd w:w="0" w:type="dxa"/>
        <w:tblLayout w:type="autofit"/>
        <w:tblCellMar>
          <w:top w:w="0" w:type="dxa"/>
          <w:left w:w="108" w:type="dxa"/>
          <w:bottom w:w="0" w:type="dxa"/>
          <w:right w:w="108" w:type="dxa"/>
        </w:tblCellMar>
      </w:tblPr>
      <w:tblGrid>
        <w:gridCol w:w="4740"/>
        <w:gridCol w:w="4740"/>
      </w:tblGrid>
      <w:tr>
        <w:tblPrEx>
          <w:tblCellMar>
            <w:top w:w="0" w:type="dxa"/>
            <w:left w:w="108" w:type="dxa"/>
            <w:bottom w:w="0" w:type="dxa"/>
            <w:right w:w="108" w:type="dxa"/>
          </w:tblCellMar>
        </w:tblPrEx>
        <w:tc>
          <w:tcPr>
            <w:tcW w:w="4740" w:type="dxa"/>
            <w:vAlign w:val="center"/>
          </w:tcPr>
          <w:p>
            <w:pPr>
              <w:adjustRightInd w:val="0"/>
              <w:snapToGrid w:val="0"/>
              <w:jc w:val="center"/>
              <w:rPr>
                <w:color w:val="auto"/>
                <w:highlight w:val="none"/>
              </w:rPr>
            </w:pPr>
            <w:r>
              <w:rPr>
                <w:color w:val="auto"/>
                <w:highlight w:val="none"/>
              </w:rPr>
              <w:drawing>
                <wp:inline distT="0" distB="0" distL="114300" distR="114300">
                  <wp:extent cx="2265680" cy="1991995"/>
                  <wp:effectExtent l="0" t="0" r="5080" b="4445"/>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pic:cNvPicPr>
                        </pic:nvPicPr>
                        <pic:blipFill>
                          <a:blip r:embed="rId48"/>
                          <a:stretch>
                            <a:fillRect/>
                          </a:stretch>
                        </pic:blipFill>
                        <pic:spPr>
                          <a:xfrm>
                            <a:off x="0" y="0"/>
                            <a:ext cx="2265680" cy="1991995"/>
                          </a:xfrm>
                          <a:prstGeom prst="rect">
                            <a:avLst/>
                          </a:prstGeom>
                          <a:noFill/>
                          <a:ln>
                            <a:noFill/>
                          </a:ln>
                        </pic:spPr>
                      </pic:pic>
                    </a:graphicData>
                  </a:graphic>
                </wp:inline>
              </w:drawing>
            </w:r>
          </w:p>
        </w:tc>
        <w:tc>
          <w:tcPr>
            <w:tcW w:w="4740" w:type="dxa"/>
            <w:vAlign w:val="center"/>
          </w:tcPr>
          <w:p>
            <w:pPr>
              <w:adjustRightInd w:val="0"/>
              <w:snapToGrid w:val="0"/>
              <w:jc w:val="center"/>
              <w:rPr>
                <w:color w:val="auto"/>
                <w:highlight w:val="none"/>
              </w:rPr>
            </w:pPr>
            <w:r>
              <w:rPr>
                <w:color w:val="auto"/>
                <w:highlight w:val="none"/>
              </w:rPr>
              <w:drawing>
                <wp:inline distT="0" distB="0" distL="114300" distR="114300">
                  <wp:extent cx="2230120" cy="1969770"/>
                  <wp:effectExtent l="0" t="0" r="10160" b="11430"/>
                  <wp:docPr id="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
                          <pic:cNvPicPr>
                            <a:picLocks noChangeAspect="1"/>
                          </pic:cNvPicPr>
                        </pic:nvPicPr>
                        <pic:blipFill>
                          <a:blip r:embed="rId49"/>
                          <a:stretch>
                            <a:fillRect/>
                          </a:stretch>
                        </pic:blipFill>
                        <pic:spPr>
                          <a:xfrm>
                            <a:off x="0" y="0"/>
                            <a:ext cx="2230120" cy="1969770"/>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4740" w:type="dxa"/>
            <w:vAlign w:val="center"/>
          </w:tcPr>
          <w:p>
            <w:pPr>
              <w:tabs>
                <w:tab w:val="left" w:pos="0"/>
              </w:tabs>
              <w:jc w:val="center"/>
              <w:rPr>
                <w:rFonts w:hint="eastAsia" w:ascii="宋体" w:hAnsi="宋体" w:cs="宋体"/>
                <w:bCs/>
                <w:color w:val="auto"/>
                <w:szCs w:val="21"/>
                <w:highlight w:val="none"/>
              </w:rPr>
            </w:pPr>
            <w:r>
              <w:rPr>
                <w:rFonts w:hint="eastAsia" w:ascii="宋体" w:hAnsi="宋体" w:cs="宋体"/>
                <w:bCs/>
                <w:color w:val="auto"/>
                <w:szCs w:val="21"/>
                <w:highlight w:val="none"/>
              </w:rPr>
              <w:t>(a) 叠合剪力墙式模块单元剪力墙、楼板连接节点</w:t>
            </w:r>
          </w:p>
        </w:tc>
        <w:tc>
          <w:tcPr>
            <w:tcW w:w="4740" w:type="dxa"/>
            <w:vAlign w:val="center"/>
          </w:tcPr>
          <w:p>
            <w:pPr>
              <w:tabs>
                <w:tab w:val="left" w:pos="0"/>
              </w:tabs>
              <w:jc w:val="center"/>
              <w:rPr>
                <w:rFonts w:hint="eastAsia" w:ascii="宋体" w:hAnsi="宋体" w:cs="宋体"/>
                <w:bCs/>
                <w:color w:val="auto"/>
                <w:szCs w:val="21"/>
                <w:highlight w:val="none"/>
              </w:rPr>
            </w:pPr>
            <w:r>
              <w:rPr>
                <w:rFonts w:hint="eastAsia" w:ascii="宋体" w:hAnsi="宋体" w:cs="宋体"/>
                <w:bCs/>
                <w:color w:val="auto"/>
                <w:szCs w:val="21"/>
                <w:highlight w:val="none"/>
              </w:rPr>
              <w:t>(b)  叠合剪力墙式模块单元梁、楼板连接节点</w:t>
            </w:r>
          </w:p>
        </w:tc>
      </w:tr>
    </w:tbl>
    <w:p>
      <w:pPr>
        <w:ind w:firstLine="360"/>
        <w:jc w:val="center"/>
        <w:rPr>
          <w:rFonts w:hint="eastAsia" w:ascii="宋体" w:hAnsi="宋体" w:cs="宋体"/>
          <w:bCs/>
          <w:color w:val="auto"/>
          <w:szCs w:val="21"/>
          <w:highlight w:val="none"/>
        </w:rPr>
      </w:pPr>
      <w:r>
        <w:rPr>
          <w:rFonts w:hint="eastAsia" w:ascii="宋体" w:hAnsi="宋体" w:cs="宋体"/>
          <w:bCs/>
          <w:color w:val="auto"/>
          <w:szCs w:val="21"/>
          <w:highlight w:val="none"/>
        </w:rPr>
        <w:t>图8  模块化叠合剪力墙结构竖向连接节点示意</w:t>
      </w:r>
    </w:p>
    <w:p>
      <w:pPr>
        <w:ind w:firstLine="360"/>
        <w:jc w:val="center"/>
        <w:rPr>
          <w:rFonts w:hint="eastAsia" w:ascii="宋体" w:hAnsi="宋体" w:cs="宋体"/>
          <w:bCs/>
          <w:color w:val="auto"/>
          <w:szCs w:val="21"/>
          <w:highlight w:val="none"/>
        </w:rPr>
      </w:pPr>
      <w:r>
        <w:rPr>
          <w:rFonts w:hint="eastAsia" w:ascii="宋体" w:hAnsi="宋体" w:cs="宋体"/>
          <w:bCs/>
          <w:color w:val="auto"/>
          <w:szCs w:val="21"/>
          <w:highlight w:val="none"/>
        </w:rPr>
        <w:t>1—叠合剪力墙后浇部分；2—装饰底板；3—叠合顶板；4—墙模；5—叠合剪力墙预制墙板；</w:t>
      </w:r>
    </w:p>
    <w:p>
      <w:pPr>
        <w:ind w:firstLine="360"/>
        <w:jc w:val="center"/>
        <w:rPr>
          <w:rFonts w:hint="eastAsia" w:ascii="宋体" w:hAnsi="宋体" w:cs="宋体"/>
          <w:bCs/>
          <w:color w:val="auto"/>
          <w:szCs w:val="21"/>
          <w:highlight w:val="none"/>
        </w:rPr>
      </w:pPr>
      <w:r>
        <w:rPr>
          <w:rFonts w:hint="eastAsia" w:ascii="宋体" w:hAnsi="宋体" w:cs="宋体"/>
          <w:bCs/>
          <w:color w:val="auto"/>
          <w:szCs w:val="21"/>
          <w:highlight w:val="none"/>
        </w:rPr>
        <w:t>6—坐浆层；7—叠合板后浇混凝土；8—叠合梁预制梁板；9—后浇混凝土梁；10—柔性层；</w:t>
      </w:r>
    </w:p>
    <w:p>
      <w:pPr>
        <w:ind w:firstLine="360"/>
        <w:jc w:val="center"/>
        <w:rPr>
          <w:rFonts w:hint="eastAsia" w:ascii="宋体" w:hAnsi="宋体" w:cs="宋体"/>
          <w:bCs/>
          <w:color w:val="auto"/>
          <w:szCs w:val="21"/>
          <w:highlight w:val="none"/>
        </w:rPr>
      </w:pPr>
      <w:r>
        <w:rPr>
          <w:rFonts w:hint="eastAsia" w:ascii="宋体" w:hAnsi="宋体" w:cs="宋体"/>
          <w:bCs/>
          <w:color w:val="auto"/>
          <w:szCs w:val="21"/>
          <w:highlight w:val="none"/>
        </w:rPr>
        <w:t>11—封堵材料；12—模块隔墙；13—模块接缝</w:t>
      </w:r>
    </w:p>
    <w:p>
      <w:pPr>
        <w:rPr>
          <w:color w:val="auto"/>
          <w:highlight w:val="none"/>
        </w:rPr>
      </w:pPr>
      <w:r>
        <w:rPr>
          <w:rFonts w:hint="eastAsia" w:eastAsia="Times New Roman"/>
          <w:b/>
          <w:color w:val="auto"/>
          <w:spacing w:val="28"/>
          <w:szCs w:val="21"/>
          <w:highlight w:val="none"/>
        </w:rPr>
        <w:t>5.2.22</w:t>
      </w:r>
      <w:r>
        <w:rPr>
          <w:rFonts w:hint="eastAsia" w:eastAsia="Times New Roman"/>
          <w:b/>
          <w:color w:val="auto"/>
          <w:szCs w:val="21"/>
          <w:highlight w:val="none"/>
        </w:rPr>
        <w:t xml:space="preserve">  </w:t>
      </w:r>
      <w:r>
        <w:rPr>
          <w:rFonts w:hint="eastAsia"/>
          <w:color w:val="auto"/>
          <w:highlight w:val="none"/>
        </w:rPr>
        <w:t>箱模式模块单元与现浇混凝土柱的水平布置示意如图9所示。</w:t>
      </w:r>
    </w:p>
    <w:tbl>
      <w:tblPr>
        <w:tblStyle w:val="24"/>
        <w:tblW w:w="0" w:type="auto"/>
        <w:jc w:val="center"/>
        <w:tblLayout w:type="autofit"/>
        <w:tblCellMar>
          <w:top w:w="0" w:type="dxa"/>
          <w:left w:w="108" w:type="dxa"/>
          <w:bottom w:w="0" w:type="dxa"/>
          <w:right w:w="108" w:type="dxa"/>
        </w:tblCellMar>
      </w:tblPr>
      <w:tblGrid>
        <w:gridCol w:w="3160"/>
        <w:gridCol w:w="3160"/>
        <w:gridCol w:w="3160"/>
      </w:tblGrid>
      <w:tr>
        <w:tblPrEx>
          <w:tblCellMar>
            <w:top w:w="0" w:type="dxa"/>
            <w:left w:w="108" w:type="dxa"/>
            <w:bottom w:w="0" w:type="dxa"/>
            <w:right w:w="108" w:type="dxa"/>
          </w:tblCellMar>
        </w:tblPrEx>
        <w:trPr>
          <w:jc w:val="center"/>
        </w:trPr>
        <w:tc>
          <w:tcPr>
            <w:tcW w:w="3160" w:type="dxa"/>
            <w:vAlign w:val="center"/>
          </w:tcPr>
          <w:p>
            <w:pPr>
              <w:adjustRightInd w:val="0"/>
              <w:snapToGrid w:val="0"/>
              <w:jc w:val="center"/>
              <w:rPr>
                <w:color w:val="auto"/>
                <w:highlight w:val="none"/>
              </w:rPr>
            </w:pPr>
            <w:r>
              <w:rPr>
                <w:color w:val="auto"/>
                <w:highlight w:val="none"/>
              </w:rPr>
              <w:drawing>
                <wp:inline distT="0" distB="0" distL="114300" distR="114300">
                  <wp:extent cx="1189355" cy="1800225"/>
                  <wp:effectExtent l="0" t="0" r="14605" b="13335"/>
                  <wp:docPr id="9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2"/>
                          <pic:cNvPicPr>
                            <a:picLocks noChangeAspect="1"/>
                          </pic:cNvPicPr>
                        </pic:nvPicPr>
                        <pic:blipFill>
                          <a:blip r:embed="rId50"/>
                          <a:stretch>
                            <a:fillRect/>
                          </a:stretch>
                        </pic:blipFill>
                        <pic:spPr>
                          <a:xfrm>
                            <a:off x="0" y="0"/>
                            <a:ext cx="1189355" cy="1800225"/>
                          </a:xfrm>
                          <a:prstGeom prst="rect">
                            <a:avLst/>
                          </a:prstGeom>
                          <a:noFill/>
                          <a:ln>
                            <a:noFill/>
                          </a:ln>
                        </pic:spPr>
                      </pic:pic>
                    </a:graphicData>
                  </a:graphic>
                </wp:inline>
              </w:drawing>
            </w:r>
          </w:p>
        </w:tc>
        <w:tc>
          <w:tcPr>
            <w:tcW w:w="3160" w:type="dxa"/>
            <w:vAlign w:val="center"/>
          </w:tcPr>
          <w:p>
            <w:pPr>
              <w:adjustRightInd w:val="0"/>
              <w:snapToGrid w:val="0"/>
              <w:jc w:val="center"/>
              <w:rPr>
                <w:color w:val="auto"/>
                <w:highlight w:val="none"/>
              </w:rPr>
            </w:pPr>
            <w:r>
              <w:rPr>
                <w:color w:val="auto"/>
                <w:highlight w:val="none"/>
              </w:rPr>
              <w:drawing>
                <wp:inline distT="0" distB="0" distL="114300" distR="114300">
                  <wp:extent cx="1171575" cy="1800225"/>
                  <wp:effectExtent l="0" t="0" r="1905" b="13335"/>
                  <wp:docPr id="9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3"/>
                          <pic:cNvPicPr>
                            <a:picLocks noChangeAspect="1"/>
                          </pic:cNvPicPr>
                        </pic:nvPicPr>
                        <pic:blipFill>
                          <a:blip r:embed="rId51"/>
                          <a:stretch>
                            <a:fillRect/>
                          </a:stretch>
                        </pic:blipFill>
                        <pic:spPr>
                          <a:xfrm>
                            <a:off x="0" y="0"/>
                            <a:ext cx="1171575" cy="1800225"/>
                          </a:xfrm>
                          <a:prstGeom prst="rect">
                            <a:avLst/>
                          </a:prstGeom>
                          <a:noFill/>
                          <a:ln>
                            <a:noFill/>
                          </a:ln>
                        </pic:spPr>
                      </pic:pic>
                    </a:graphicData>
                  </a:graphic>
                </wp:inline>
              </w:drawing>
            </w:r>
          </w:p>
        </w:tc>
        <w:tc>
          <w:tcPr>
            <w:tcW w:w="3160" w:type="dxa"/>
            <w:vAlign w:val="center"/>
          </w:tcPr>
          <w:p>
            <w:pPr>
              <w:adjustRightInd w:val="0"/>
              <w:snapToGrid w:val="0"/>
              <w:jc w:val="center"/>
              <w:rPr>
                <w:color w:val="auto"/>
                <w:highlight w:val="none"/>
              </w:rPr>
            </w:pPr>
            <w:r>
              <w:rPr>
                <w:color w:val="auto"/>
                <w:highlight w:val="none"/>
              </w:rPr>
              <w:drawing>
                <wp:inline distT="0" distB="0" distL="114300" distR="114300">
                  <wp:extent cx="1358265" cy="1619885"/>
                  <wp:effectExtent l="0" t="0" r="13335" b="10795"/>
                  <wp:docPr id="9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4"/>
                          <pic:cNvPicPr>
                            <a:picLocks noChangeAspect="1"/>
                          </pic:cNvPicPr>
                        </pic:nvPicPr>
                        <pic:blipFill>
                          <a:blip r:embed="rId52"/>
                          <a:stretch>
                            <a:fillRect/>
                          </a:stretch>
                        </pic:blipFill>
                        <pic:spPr>
                          <a:xfrm>
                            <a:off x="0" y="0"/>
                            <a:ext cx="1358265" cy="1619885"/>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3160" w:type="dxa"/>
            <w:vAlign w:val="center"/>
          </w:tcPr>
          <w:p>
            <w:pPr>
              <w:tabs>
                <w:tab w:val="left" w:pos="0"/>
              </w:tabs>
              <w:jc w:val="center"/>
              <w:rPr>
                <w:rFonts w:eastAsia="楷体"/>
                <w:bCs/>
                <w:color w:val="auto"/>
                <w:sz w:val="18"/>
                <w:szCs w:val="18"/>
                <w:highlight w:val="none"/>
              </w:rPr>
            </w:pPr>
            <w:r>
              <w:rPr>
                <w:rFonts w:eastAsia="楷体"/>
                <w:bCs/>
                <w:color w:val="auto"/>
                <w:sz w:val="18"/>
                <w:szCs w:val="18"/>
                <w:highlight w:val="none"/>
              </w:rPr>
              <w:t>(a)  中柱</w:t>
            </w:r>
          </w:p>
        </w:tc>
        <w:tc>
          <w:tcPr>
            <w:tcW w:w="3160" w:type="dxa"/>
            <w:vAlign w:val="center"/>
          </w:tcPr>
          <w:p>
            <w:pPr>
              <w:tabs>
                <w:tab w:val="left" w:pos="0"/>
              </w:tabs>
              <w:jc w:val="center"/>
              <w:rPr>
                <w:rFonts w:eastAsia="楷体"/>
                <w:bCs/>
                <w:color w:val="auto"/>
                <w:sz w:val="18"/>
                <w:szCs w:val="18"/>
                <w:highlight w:val="none"/>
              </w:rPr>
            </w:pPr>
            <w:r>
              <w:rPr>
                <w:rFonts w:eastAsia="楷体"/>
                <w:bCs/>
                <w:color w:val="auto"/>
                <w:sz w:val="18"/>
                <w:szCs w:val="18"/>
                <w:highlight w:val="none"/>
              </w:rPr>
              <w:t>(b)  边柱</w:t>
            </w:r>
          </w:p>
        </w:tc>
        <w:tc>
          <w:tcPr>
            <w:tcW w:w="3160" w:type="dxa"/>
            <w:vAlign w:val="center"/>
          </w:tcPr>
          <w:p>
            <w:pPr>
              <w:tabs>
                <w:tab w:val="left" w:pos="0"/>
              </w:tabs>
              <w:jc w:val="center"/>
              <w:rPr>
                <w:rFonts w:eastAsia="楷体"/>
                <w:bCs/>
                <w:color w:val="auto"/>
                <w:sz w:val="18"/>
                <w:szCs w:val="18"/>
                <w:highlight w:val="none"/>
              </w:rPr>
            </w:pPr>
            <w:r>
              <w:rPr>
                <w:rFonts w:eastAsia="楷体"/>
                <w:bCs/>
                <w:color w:val="auto"/>
                <w:sz w:val="18"/>
                <w:szCs w:val="18"/>
                <w:highlight w:val="none"/>
              </w:rPr>
              <w:t>(c)  角柱</w:t>
            </w:r>
          </w:p>
        </w:tc>
      </w:tr>
    </w:tbl>
    <w:p>
      <w:pPr>
        <w:jc w:val="center"/>
        <w:rPr>
          <w:rFonts w:hint="eastAsia" w:ascii="宋体" w:hAnsi="宋体" w:cs="宋体"/>
          <w:bCs/>
          <w:color w:val="auto"/>
          <w:szCs w:val="21"/>
          <w:highlight w:val="none"/>
        </w:rPr>
      </w:pPr>
      <w:r>
        <w:rPr>
          <w:rFonts w:hint="eastAsia" w:ascii="宋体" w:hAnsi="宋体" w:cs="宋体"/>
          <w:bCs/>
          <w:color w:val="auto"/>
          <w:szCs w:val="21"/>
          <w:highlight w:val="none"/>
        </w:rPr>
        <w:t>图9  箱模式模块单元与现浇混凝土柱的水平布置示意</w:t>
      </w:r>
    </w:p>
    <w:p>
      <w:pPr>
        <w:ind w:firstLine="360"/>
        <w:jc w:val="center"/>
        <w:rPr>
          <w:rFonts w:hint="eastAsia" w:ascii="宋体" w:hAnsi="宋体" w:cs="宋体"/>
          <w:bCs/>
          <w:color w:val="auto"/>
          <w:szCs w:val="21"/>
          <w:highlight w:val="none"/>
        </w:rPr>
      </w:pPr>
      <w:r>
        <w:rPr>
          <w:rFonts w:hint="eastAsia" w:ascii="宋体" w:hAnsi="宋体" w:cs="宋体"/>
          <w:bCs/>
          <w:color w:val="auto"/>
          <w:szCs w:val="21"/>
          <w:highlight w:val="none"/>
        </w:rPr>
        <w:t>1—现浇混凝土矩形柱；2—右箱模式模块单元；3—左箱模式模块单元；</w:t>
      </w:r>
    </w:p>
    <w:p>
      <w:pPr>
        <w:ind w:firstLine="360"/>
        <w:jc w:val="center"/>
        <w:rPr>
          <w:rFonts w:hint="eastAsia" w:ascii="宋体" w:hAnsi="宋体" w:cs="宋体"/>
          <w:bCs/>
          <w:color w:val="auto"/>
          <w:szCs w:val="21"/>
          <w:highlight w:val="none"/>
        </w:rPr>
      </w:pPr>
      <w:r>
        <w:rPr>
          <w:rFonts w:hint="eastAsia" w:ascii="宋体" w:hAnsi="宋体" w:cs="宋体"/>
          <w:bCs/>
          <w:color w:val="auto"/>
          <w:szCs w:val="21"/>
          <w:highlight w:val="none"/>
        </w:rPr>
        <w:t>4—模块接缝；5—现场浇筑柱时临时用模板；6—柔性层；7—防水胶条</w:t>
      </w:r>
    </w:p>
    <w:p>
      <w:pPr>
        <w:rPr>
          <w:color w:val="auto"/>
          <w:highlight w:val="none"/>
        </w:rPr>
      </w:pPr>
      <w:r>
        <w:rPr>
          <w:rFonts w:hint="eastAsia" w:eastAsia="Times New Roman"/>
          <w:b/>
          <w:color w:val="auto"/>
          <w:spacing w:val="28"/>
          <w:szCs w:val="21"/>
          <w:highlight w:val="none"/>
        </w:rPr>
        <w:t>5.2.23</w:t>
      </w:r>
      <w:r>
        <w:rPr>
          <w:rFonts w:hint="eastAsia" w:eastAsia="Times New Roman"/>
          <w:b/>
          <w:color w:val="auto"/>
          <w:szCs w:val="21"/>
          <w:highlight w:val="none"/>
        </w:rPr>
        <w:t xml:space="preserve">  </w:t>
      </w:r>
      <w:r>
        <w:rPr>
          <w:rFonts w:hint="eastAsia"/>
          <w:color w:val="auto"/>
          <w:highlight w:val="none"/>
        </w:rPr>
        <w:t>箱模式模块单元与现浇剪力墙的水平布置示意如图10所示。</w:t>
      </w:r>
    </w:p>
    <w:tbl>
      <w:tblPr>
        <w:tblStyle w:val="24"/>
        <w:tblW w:w="0" w:type="auto"/>
        <w:jc w:val="center"/>
        <w:tblLayout w:type="autofit"/>
        <w:tblCellMar>
          <w:top w:w="0" w:type="dxa"/>
          <w:left w:w="108" w:type="dxa"/>
          <w:bottom w:w="0" w:type="dxa"/>
          <w:right w:w="108" w:type="dxa"/>
        </w:tblCellMar>
      </w:tblPr>
      <w:tblGrid>
        <w:gridCol w:w="3160"/>
        <w:gridCol w:w="3160"/>
        <w:gridCol w:w="3160"/>
      </w:tblGrid>
      <w:tr>
        <w:tblPrEx>
          <w:tblCellMar>
            <w:top w:w="0" w:type="dxa"/>
            <w:left w:w="108" w:type="dxa"/>
            <w:bottom w:w="0" w:type="dxa"/>
            <w:right w:w="108" w:type="dxa"/>
          </w:tblCellMar>
        </w:tblPrEx>
        <w:trPr>
          <w:jc w:val="center"/>
        </w:trPr>
        <w:tc>
          <w:tcPr>
            <w:tcW w:w="3160" w:type="dxa"/>
            <w:vAlign w:val="center"/>
          </w:tcPr>
          <w:p>
            <w:pPr>
              <w:adjustRightInd w:val="0"/>
              <w:snapToGrid w:val="0"/>
              <w:jc w:val="center"/>
              <w:rPr>
                <w:color w:val="auto"/>
                <w:highlight w:val="none"/>
              </w:rPr>
            </w:pPr>
            <w:r>
              <w:rPr>
                <w:color w:val="auto"/>
                <w:highlight w:val="none"/>
              </w:rPr>
              <w:drawing>
                <wp:inline distT="0" distB="0" distL="114300" distR="114300">
                  <wp:extent cx="765810" cy="1800225"/>
                  <wp:effectExtent l="0" t="0" r="11430" b="13335"/>
                  <wp:docPr id="9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5"/>
                          <pic:cNvPicPr>
                            <a:picLocks noChangeAspect="1"/>
                          </pic:cNvPicPr>
                        </pic:nvPicPr>
                        <pic:blipFill>
                          <a:blip r:embed="rId53"/>
                          <a:stretch>
                            <a:fillRect/>
                          </a:stretch>
                        </pic:blipFill>
                        <pic:spPr>
                          <a:xfrm>
                            <a:off x="0" y="0"/>
                            <a:ext cx="765810" cy="1800225"/>
                          </a:xfrm>
                          <a:prstGeom prst="rect">
                            <a:avLst/>
                          </a:prstGeom>
                          <a:noFill/>
                          <a:ln>
                            <a:noFill/>
                          </a:ln>
                        </pic:spPr>
                      </pic:pic>
                    </a:graphicData>
                  </a:graphic>
                </wp:inline>
              </w:drawing>
            </w:r>
          </w:p>
        </w:tc>
        <w:tc>
          <w:tcPr>
            <w:tcW w:w="3160" w:type="dxa"/>
            <w:vAlign w:val="center"/>
          </w:tcPr>
          <w:p>
            <w:pPr>
              <w:adjustRightInd w:val="0"/>
              <w:snapToGrid w:val="0"/>
              <w:jc w:val="center"/>
              <w:rPr>
                <w:color w:val="auto"/>
                <w:highlight w:val="none"/>
              </w:rPr>
            </w:pPr>
            <w:r>
              <w:rPr>
                <w:color w:val="auto"/>
                <w:highlight w:val="none"/>
              </w:rPr>
              <w:drawing>
                <wp:inline distT="0" distB="0" distL="114300" distR="114300">
                  <wp:extent cx="1136015" cy="1800225"/>
                  <wp:effectExtent l="0" t="0" r="6985" b="13335"/>
                  <wp:docPr id="9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6"/>
                          <pic:cNvPicPr>
                            <a:picLocks noChangeAspect="1"/>
                          </pic:cNvPicPr>
                        </pic:nvPicPr>
                        <pic:blipFill>
                          <a:blip r:embed="rId54"/>
                          <a:stretch>
                            <a:fillRect/>
                          </a:stretch>
                        </pic:blipFill>
                        <pic:spPr>
                          <a:xfrm>
                            <a:off x="0" y="0"/>
                            <a:ext cx="1136015" cy="1800225"/>
                          </a:xfrm>
                          <a:prstGeom prst="rect">
                            <a:avLst/>
                          </a:prstGeom>
                          <a:noFill/>
                          <a:ln>
                            <a:noFill/>
                          </a:ln>
                        </pic:spPr>
                      </pic:pic>
                    </a:graphicData>
                  </a:graphic>
                </wp:inline>
              </w:drawing>
            </w:r>
          </w:p>
        </w:tc>
        <w:tc>
          <w:tcPr>
            <w:tcW w:w="3160" w:type="dxa"/>
            <w:vAlign w:val="center"/>
          </w:tcPr>
          <w:p>
            <w:pPr>
              <w:adjustRightInd w:val="0"/>
              <w:snapToGrid w:val="0"/>
              <w:jc w:val="center"/>
              <w:rPr>
                <w:color w:val="auto"/>
                <w:highlight w:val="none"/>
              </w:rPr>
            </w:pPr>
            <w:r>
              <w:rPr>
                <w:color w:val="auto"/>
                <w:highlight w:val="none"/>
              </w:rPr>
              <w:drawing>
                <wp:inline distT="0" distB="0" distL="114300" distR="114300">
                  <wp:extent cx="1399540" cy="1800225"/>
                  <wp:effectExtent l="0" t="0" r="2540" b="13335"/>
                  <wp:docPr id="10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7"/>
                          <pic:cNvPicPr>
                            <a:picLocks noChangeAspect="1"/>
                          </pic:cNvPicPr>
                        </pic:nvPicPr>
                        <pic:blipFill>
                          <a:blip r:embed="rId55"/>
                          <a:stretch>
                            <a:fillRect/>
                          </a:stretch>
                        </pic:blipFill>
                        <pic:spPr>
                          <a:xfrm>
                            <a:off x="0" y="0"/>
                            <a:ext cx="1399540" cy="1800225"/>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3160" w:type="dxa"/>
            <w:vAlign w:val="center"/>
          </w:tcPr>
          <w:p>
            <w:pPr>
              <w:tabs>
                <w:tab w:val="left" w:pos="0"/>
              </w:tabs>
              <w:jc w:val="center"/>
              <w:rPr>
                <w:rFonts w:hint="eastAsia" w:ascii="宋体" w:hAnsi="宋体" w:cs="宋体"/>
                <w:bCs/>
                <w:color w:val="auto"/>
                <w:szCs w:val="21"/>
                <w:highlight w:val="none"/>
              </w:rPr>
            </w:pPr>
            <w:r>
              <w:rPr>
                <w:rFonts w:hint="eastAsia" w:ascii="宋体" w:hAnsi="宋体" w:cs="宋体"/>
                <w:bCs/>
                <w:color w:val="auto"/>
                <w:szCs w:val="21"/>
                <w:highlight w:val="none"/>
              </w:rPr>
              <w:t>(a)  一字形墙</w:t>
            </w:r>
          </w:p>
        </w:tc>
        <w:tc>
          <w:tcPr>
            <w:tcW w:w="3160" w:type="dxa"/>
            <w:vAlign w:val="center"/>
          </w:tcPr>
          <w:p>
            <w:pPr>
              <w:tabs>
                <w:tab w:val="left" w:pos="0"/>
              </w:tabs>
              <w:jc w:val="center"/>
              <w:rPr>
                <w:rFonts w:hint="eastAsia" w:ascii="宋体" w:hAnsi="宋体" w:cs="宋体"/>
                <w:bCs/>
                <w:color w:val="auto"/>
                <w:szCs w:val="21"/>
                <w:highlight w:val="none"/>
              </w:rPr>
            </w:pPr>
            <w:r>
              <w:rPr>
                <w:rFonts w:hint="eastAsia" w:ascii="宋体" w:hAnsi="宋体" w:cs="宋体"/>
                <w:bCs/>
                <w:color w:val="auto"/>
                <w:szCs w:val="21"/>
                <w:highlight w:val="none"/>
              </w:rPr>
              <w:t>(b)  L形墙</w:t>
            </w:r>
          </w:p>
        </w:tc>
        <w:tc>
          <w:tcPr>
            <w:tcW w:w="3160" w:type="dxa"/>
            <w:vAlign w:val="center"/>
          </w:tcPr>
          <w:p>
            <w:pPr>
              <w:tabs>
                <w:tab w:val="left" w:pos="0"/>
              </w:tabs>
              <w:jc w:val="center"/>
              <w:rPr>
                <w:rFonts w:hint="eastAsia" w:ascii="宋体" w:hAnsi="宋体" w:cs="宋体"/>
                <w:bCs/>
                <w:color w:val="auto"/>
                <w:szCs w:val="21"/>
                <w:highlight w:val="none"/>
              </w:rPr>
            </w:pPr>
            <w:r>
              <w:rPr>
                <w:rFonts w:hint="eastAsia" w:ascii="宋体" w:hAnsi="宋体" w:cs="宋体"/>
                <w:bCs/>
                <w:color w:val="auto"/>
                <w:szCs w:val="21"/>
                <w:highlight w:val="none"/>
              </w:rPr>
              <w:t>(c)  T字形墙</w:t>
            </w:r>
          </w:p>
        </w:tc>
      </w:tr>
    </w:tbl>
    <w:p>
      <w:pPr>
        <w:ind w:firstLine="360"/>
        <w:jc w:val="center"/>
        <w:rPr>
          <w:rFonts w:hint="eastAsia" w:ascii="宋体" w:hAnsi="宋体" w:cs="宋体"/>
          <w:bCs/>
          <w:color w:val="auto"/>
          <w:szCs w:val="21"/>
          <w:highlight w:val="none"/>
        </w:rPr>
      </w:pPr>
      <w:r>
        <w:rPr>
          <w:rFonts w:hint="eastAsia" w:ascii="宋体" w:hAnsi="宋体" w:cs="宋体"/>
          <w:bCs/>
          <w:color w:val="auto"/>
          <w:szCs w:val="21"/>
          <w:highlight w:val="none"/>
        </w:rPr>
        <w:t>图10  箱模式模块单元与现浇剪力墙的水平布置示意</w:t>
      </w:r>
    </w:p>
    <w:p>
      <w:pPr>
        <w:ind w:firstLine="360"/>
        <w:jc w:val="center"/>
        <w:rPr>
          <w:rFonts w:hint="eastAsia" w:ascii="宋体" w:hAnsi="宋体" w:cs="宋体"/>
          <w:bCs/>
          <w:color w:val="auto"/>
          <w:szCs w:val="21"/>
          <w:highlight w:val="none"/>
        </w:rPr>
      </w:pPr>
      <w:r>
        <w:rPr>
          <w:rFonts w:hint="eastAsia" w:ascii="宋体" w:hAnsi="宋体" w:cs="宋体"/>
          <w:bCs/>
          <w:color w:val="auto"/>
          <w:szCs w:val="21"/>
          <w:highlight w:val="none"/>
        </w:rPr>
        <w:t>1—现浇混凝土剪力墙；2—右方箱模式模块单元；3—左方箱模式模块单元；</w:t>
      </w:r>
    </w:p>
    <w:p>
      <w:pPr>
        <w:ind w:firstLine="360"/>
        <w:jc w:val="center"/>
        <w:rPr>
          <w:rFonts w:hint="eastAsia" w:ascii="宋体" w:hAnsi="宋体" w:cs="宋体"/>
          <w:bCs/>
          <w:color w:val="auto"/>
          <w:szCs w:val="21"/>
          <w:highlight w:val="none"/>
        </w:rPr>
      </w:pPr>
      <w:r>
        <w:rPr>
          <w:rFonts w:hint="eastAsia" w:ascii="宋体" w:hAnsi="宋体" w:cs="宋体"/>
          <w:bCs/>
          <w:color w:val="auto"/>
          <w:szCs w:val="21"/>
          <w:highlight w:val="none"/>
        </w:rPr>
        <w:t>4—模块接缝；5—浇筑剪力墙时用模板；6—柔性层；7—防水胶条</w:t>
      </w:r>
    </w:p>
    <w:p>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为保证结构受力合理，箱模式模块单元与竖向构件的平面布置应简单、规则；根据哈尔滨工业大学（深圳）的试验结论（图11），在模块隔墙与剪力墙或柱接触部位设置柔性分隔，可有效降低模块隔墙对结构抗侧刚度的影响，柔性材料可为EPS或XPS。</w:t>
      </w:r>
    </w:p>
    <w:tbl>
      <w:tblPr>
        <w:tblStyle w:val="24"/>
        <w:tblW w:w="0" w:type="auto"/>
        <w:jc w:val="center"/>
        <w:tblLayout w:type="autofit"/>
        <w:tblCellMar>
          <w:top w:w="0" w:type="dxa"/>
          <w:left w:w="108" w:type="dxa"/>
          <w:bottom w:w="0" w:type="dxa"/>
          <w:right w:w="108" w:type="dxa"/>
        </w:tblCellMar>
      </w:tblPr>
      <w:tblGrid>
        <w:gridCol w:w="4261"/>
        <w:gridCol w:w="4261"/>
      </w:tblGrid>
      <w:tr>
        <w:tblPrEx>
          <w:tblCellMar>
            <w:top w:w="0" w:type="dxa"/>
            <w:left w:w="108" w:type="dxa"/>
            <w:bottom w:w="0" w:type="dxa"/>
            <w:right w:w="108" w:type="dxa"/>
          </w:tblCellMar>
        </w:tblPrEx>
        <w:trPr>
          <w:jc w:val="center"/>
        </w:trPr>
        <w:tc>
          <w:tcPr>
            <w:tcW w:w="4261" w:type="dxa"/>
            <w:vAlign w:val="center"/>
          </w:tcPr>
          <w:p>
            <w:pPr>
              <w:adjustRightInd w:val="0"/>
              <w:snapToGrid w:val="0"/>
              <w:jc w:val="center"/>
              <w:rPr>
                <w:color w:val="auto"/>
                <w:highlight w:val="none"/>
              </w:rPr>
            </w:pPr>
            <w:r>
              <w:rPr>
                <w:color w:val="auto"/>
                <w:highlight w:val="none"/>
              </w:rPr>
              <w:drawing>
                <wp:inline distT="0" distB="0" distL="114300" distR="114300">
                  <wp:extent cx="1916430" cy="1619885"/>
                  <wp:effectExtent l="0" t="0" r="3810" b="10795"/>
                  <wp:docPr id="10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2"/>
                          <pic:cNvPicPr>
                            <a:picLocks noChangeAspect="1"/>
                          </pic:cNvPicPr>
                        </pic:nvPicPr>
                        <pic:blipFill>
                          <a:blip r:embed="rId56"/>
                          <a:stretch>
                            <a:fillRect/>
                          </a:stretch>
                        </pic:blipFill>
                        <pic:spPr>
                          <a:xfrm>
                            <a:off x="0" y="0"/>
                            <a:ext cx="1916430" cy="1619885"/>
                          </a:xfrm>
                          <a:prstGeom prst="rect">
                            <a:avLst/>
                          </a:prstGeom>
                          <a:noFill/>
                          <a:ln>
                            <a:noFill/>
                          </a:ln>
                        </pic:spPr>
                      </pic:pic>
                    </a:graphicData>
                  </a:graphic>
                </wp:inline>
              </w:drawing>
            </w:r>
          </w:p>
        </w:tc>
        <w:tc>
          <w:tcPr>
            <w:tcW w:w="4261" w:type="dxa"/>
            <w:vAlign w:val="center"/>
          </w:tcPr>
          <w:p>
            <w:pPr>
              <w:adjustRightInd w:val="0"/>
              <w:snapToGrid w:val="0"/>
              <w:jc w:val="center"/>
              <w:rPr>
                <w:color w:val="auto"/>
                <w:highlight w:val="none"/>
              </w:rPr>
            </w:pPr>
            <w:r>
              <w:rPr>
                <w:color w:val="auto"/>
                <w:highlight w:val="none"/>
              </w:rPr>
              <w:drawing>
                <wp:inline distT="0" distB="0" distL="114300" distR="114300">
                  <wp:extent cx="1861185" cy="1619885"/>
                  <wp:effectExtent l="0" t="0" r="13335" b="10795"/>
                  <wp:docPr id="10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3"/>
                          <pic:cNvPicPr>
                            <a:picLocks noChangeAspect="1"/>
                          </pic:cNvPicPr>
                        </pic:nvPicPr>
                        <pic:blipFill>
                          <a:blip r:embed="rId57"/>
                          <a:stretch>
                            <a:fillRect/>
                          </a:stretch>
                        </pic:blipFill>
                        <pic:spPr>
                          <a:xfrm>
                            <a:off x="0" y="0"/>
                            <a:ext cx="1861185" cy="1619885"/>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4261" w:type="dxa"/>
            <w:vAlign w:val="center"/>
          </w:tcPr>
          <w:p>
            <w:pPr>
              <w:tabs>
                <w:tab w:val="left" w:pos="0"/>
              </w:tabs>
              <w:jc w:val="center"/>
              <w:rPr>
                <w:rFonts w:hint="eastAsia" w:ascii="宋体" w:hAnsi="宋体" w:cs="宋体"/>
                <w:bCs/>
                <w:color w:val="auto"/>
                <w:szCs w:val="21"/>
                <w:highlight w:val="none"/>
              </w:rPr>
            </w:pPr>
            <w:r>
              <w:rPr>
                <w:rFonts w:hint="eastAsia" w:ascii="宋体" w:hAnsi="宋体" w:cs="宋体"/>
                <w:bCs/>
                <w:color w:val="auto"/>
                <w:szCs w:val="21"/>
                <w:highlight w:val="none"/>
              </w:rPr>
              <w:t>(a)  剪力墙设置柔性分隔</w:t>
            </w:r>
          </w:p>
        </w:tc>
        <w:tc>
          <w:tcPr>
            <w:tcW w:w="4261" w:type="dxa"/>
            <w:vAlign w:val="center"/>
          </w:tcPr>
          <w:p>
            <w:pPr>
              <w:tabs>
                <w:tab w:val="left" w:pos="0"/>
              </w:tabs>
              <w:jc w:val="center"/>
              <w:rPr>
                <w:rFonts w:hint="eastAsia" w:ascii="宋体" w:hAnsi="宋体" w:cs="宋体"/>
                <w:bCs/>
                <w:color w:val="auto"/>
                <w:szCs w:val="21"/>
                <w:highlight w:val="none"/>
              </w:rPr>
            </w:pPr>
            <w:r>
              <w:rPr>
                <w:rFonts w:hint="eastAsia" w:ascii="宋体" w:hAnsi="宋体" w:cs="宋体"/>
                <w:bCs/>
                <w:color w:val="auto"/>
                <w:szCs w:val="21"/>
                <w:highlight w:val="none"/>
              </w:rPr>
              <w:t>(b)  剪力墙未设置柔性分隔</w:t>
            </w:r>
          </w:p>
        </w:tc>
      </w:tr>
    </w:tbl>
    <w:p>
      <w:pPr>
        <w:jc w:val="center"/>
        <w:rPr>
          <w:rFonts w:hint="eastAsia" w:ascii="宋体" w:hAnsi="宋体" w:cs="宋体"/>
          <w:bCs/>
          <w:color w:val="auto"/>
          <w:szCs w:val="21"/>
          <w:highlight w:val="none"/>
        </w:rPr>
      </w:pPr>
      <w:r>
        <w:rPr>
          <w:rFonts w:hint="eastAsia" w:ascii="宋体" w:hAnsi="宋体" w:cs="宋体"/>
          <w:bCs/>
          <w:color w:val="auto"/>
          <w:szCs w:val="21"/>
          <w:highlight w:val="none"/>
        </w:rPr>
        <w:t>图11  墙模联肢剪力墙抗震性能试验</w:t>
      </w:r>
    </w:p>
    <w:p>
      <w:pPr>
        <w:rPr>
          <w:color w:val="auto"/>
          <w:highlight w:val="none"/>
        </w:rPr>
      </w:pPr>
      <w:r>
        <w:rPr>
          <w:rFonts w:hint="eastAsia" w:eastAsia="Times New Roman"/>
          <w:b/>
          <w:color w:val="auto"/>
          <w:spacing w:val="28"/>
          <w:szCs w:val="21"/>
          <w:highlight w:val="none"/>
        </w:rPr>
        <w:t>5.2.24</w:t>
      </w:r>
      <w:r>
        <w:rPr>
          <w:rFonts w:hint="eastAsia" w:eastAsia="Times New Roman"/>
          <w:b/>
          <w:color w:val="auto"/>
          <w:szCs w:val="21"/>
          <w:highlight w:val="none"/>
        </w:rPr>
        <w:t xml:space="preserve">  </w:t>
      </w:r>
      <w:r>
        <w:rPr>
          <w:rFonts w:hint="eastAsia"/>
          <w:color w:val="auto"/>
          <w:highlight w:val="none"/>
        </w:rPr>
        <w:t>模块化箱模结构竖向连接节点示意如图12所示。</w:t>
      </w:r>
    </w:p>
    <w:tbl>
      <w:tblPr>
        <w:tblStyle w:val="24"/>
        <w:tblW w:w="0" w:type="auto"/>
        <w:jc w:val="center"/>
        <w:tblLayout w:type="autofit"/>
        <w:tblCellMar>
          <w:top w:w="0" w:type="dxa"/>
          <w:left w:w="108" w:type="dxa"/>
          <w:bottom w:w="0" w:type="dxa"/>
          <w:right w:w="108" w:type="dxa"/>
        </w:tblCellMar>
      </w:tblPr>
      <w:tblGrid>
        <w:gridCol w:w="4740"/>
        <w:gridCol w:w="4740"/>
      </w:tblGrid>
      <w:tr>
        <w:tblPrEx>
          <w:tblCellMar>
            <w:top w:w="0" w:type="dxa"/>
            <w:left w:w="108" w:type="dxa"/>
            <w:bottom w:w="0" w:type="dxa"/>
            <w:right w:w="108" w:type="dxa"/>
          </w:tblCellMar>
        </w:tblPrEx>
        <w:trPr>
          <w:jc w:val="center"/>
        </w:trPr>
        <w:tc>
          <w:tcPr>
            <w:tcW w:w="4740" w:type="dxa"/>
            <w:vAlign w:val="center"/>
          </w:tcPr>
          <w:p>
            <w:pPr>
              <w:adjustRightInd w:val="0"/>
              <w:snapToGrid w:val="0"/>
              <w:jc w:val="center"/>
              <w:rPr>
                <w:color w:val="auto"/>
                <w:highlight w:val="none"/>
              </w:rPr>
            </w:pPr>
            <w:r>
              <w:rPr>
                <w:color w:val="auto"/>
                <w:highlight w:val="none"/>
              </w:rPr>
              <w:drawing>
                <wp:inline distT="0" distB="0" distL="114300" distR="114300">
                  <wp:extent cx="2226310" cy="2367280"/>
                  <wp:effectExtent l="0" t="0" r="13970" b="10160"/>
                  <wp:docPr id="1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
                          <pic:cNvPicPr>
                            <a:picLocks noChangeAspect="1"/>
                          </pic:cNvPicPr>
                        </pic:nvPicPr>
                        <pic:blipFill>
                          <a:blip r:embed="rId58"/>
                          <a:stretch>
                            <a:fillRect/>
                          </a:stretch>
                        </pic:blipFill>
                        <pic:spPr>
                          <a:xfrm>
                            <a:off x="0" y="0"/>
                            <a:ext cx="2226310" cy="2367280"/>
                          </a:xfrm>
                          <a:prstGeom prst="rect">
                            <a:avLst/>
                          </a:prstGeom>
                          <a:noFill/>
                          <a:ln>
                            <a:noFill/>
                          </a:ln>
                        </pic:spPr>
                      </pic:pic>
                    </a:graphicData>
                  </a:graphic>
                </wp:inline>
              </w:drawing>
            </w:r>
          </w:p>
        </w:tc>
        <w:tc>
          <w:tcPr>
            <w:tcW w:w="4740" w:type="dxa"/>
            <w:vAlign w:val="center"/>
          </w:tcPr>
          <w:p>
            <w:pPr>
              <w:adjustRightInd w:val="0"/>
              <w:snapToGrid w:val="0"/>
              <w:jc w:val="center"/>
              <w:rPr>
                <w:color w:val="auto"/>
                <w:highlight w:val="none"/>
              </w:rPr>
            </w:pPr>
            <w:r>
              <w:rPr>
                <w:color w:val="auto"/>
                <w:highlight w:val="none"/>
              </w:rPr>
              <w:drawing>
                <wp:inline distT="0" distB="0" distL="114300" distR="114300">
                  <wp:extent cx="2239010" cy="2164715"/>
                  <wp:effectExtent l="0" t="0" r="1270" b="14605"/>
                  <wp:docPr id="1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
                          <pic:cNvPicPr>
                            <a:picLocks noChangeAspect="1"/>
                          </pic:cNvPicPr>
                        </pic:nvPicPr>
                        <pic:blipFill>
                          <a:blip r:embed="rId59"/>
                          <a:stretch>
                            <a:fillRect/>
                          </a:stretch>
                        </pic:blipFill>
                        <pic:spPr>
                          <a:xfrm>
                            <a:off x="0" y="0"/>
                            <a:ext cx="2239010" cy="2164715"/>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4740" w:type="dxa"/>
            <w:vAlign w:val="center"/>
          </w:tcPr>
          <w:p>
            <w:pPr>
              <w:tabs>
                <w:tab w:val="left" w:pos="0"/>
              </w:tabs>
              <w:jc w:val="center"/>
              <w:rPr>
                <w:rFonts w:hint="eastAsia" w:ascii="宋体" w:hAnsi="宋体" w:cs="宋体"/>
                <w:bCs/>
                <w:color w:val="auto"/>
                <w:szCs w:val="21"/>
                <w:highlight w:val="none"/>
              </w:rPr>
            </w:pPr>
            <w:r>
              <w:rPr>
                <w:rFonts w:hint="eastAsia" w:ascii="宋体" w:hAnsi="宋体" w:cs="宋体"/>
                <w:bCs/>
                <w:color w:val="auto"/>
                <w:szCs w:val="21"/>
                <w:highlight w:val="none"/>
              </w:rPr>
              <w:t>(a)  箱模式模块单元与柱/墙、楼板连接节点</w:t>
            </w:r>
          </w:p>
        </w:tc>
        <w:tc>
          <w:tcPr>
            <w:tcW w:w="4740" w:type="dxa"/>
            <w:vAlign w:val="center"/>
          </w:tcPr>
          <w:p>
            <w:pPr>
              <w:tabs>
                <w:tab w:val="left" w:pos="0"/>
              </w:tabs>
              <w:jc w:val="center"/>
              <w:rPr>
                <w:rFonts w:hint="eastAsia" w:ascii="宋体" w:hAnsi="宋体" w:cs="宋体"/>
                <w:bCs/>
                <w:color w:val="auto"/>
                <w:szCs w:val="21"/>
                <w:highlight w:val="none"/>
              </w:rPr>
            </w:pPr>
            <w:r>
              <w:rPr>
                <w:rFonts w:hint="eastAsia" w:ascii="宋体" w:hAnsi="宋体" w:cs="宋体"/>
                <w:bCs/>
                <w:color w:val="auto"/>
                <w:szCs w:val="21"/>
                <w:highlight w:val="none"/>
              </w:rPr>
              <w:t>(b)  箱模式模块单元与梁、楼板连接节点</w:t>
            </w:r>
          </w:p>
        </w:tc>
      </w:tr>
    </w:tbl>
    <w:p>
      <w:pPr>
        <w:ind w:firstLine="360"/>
        <w:jc w:val="center"/>
        <w:rPr>
          <w:rFonts w:hint="eastAsia" w:ascii="宋体" w:hAnsi="宋体" w:cs="宋体"/>
          <w:bCs/>
          <w:color w:val="auto"/>
          <w:szCs w:val="21"/>
          <w:highlight w:val="none"/>
        </w:rPr>
      </w:pPr>
      <w:r>
        <w:rPr>
          <w:rFonts w:hint="eastAsia" w:ascii="宋体" w:hAnsi="宋体" w:cs="宋体"/>
          <w:bCs/>
          <w:color w:val="auto"/>
          <w:szCs w:val="21"/>
          <w:highlight w:val="none"/>
        </w:rPr>
        <w:t>图12  模块化箱模结构竖向连接节点示意</w:t>
      </w:r>
    </w:p>
    <w:p>
      <w:pPr>
        <w:ind w:firstLine="360"/>
        <w:jc w:val="center"/>
        <w:rPr>
          <w:rFonts w:hint="eastAsia" w:ascii="宋体" w:hAnsi="宋体" w:cs="宋体"/>
          <w:bCs/>
          <w:color w:val="auto"/>
          <w:szCs w:val="21"/>
          <w:highlight w:val="none"/>
        </w:rPr>
      </w:pPr>
      <w:r>
        <w:rPr>
          <w:rFonts w:hint="eastAsia" w:ascii="宋体" w:hAnsi="宋体" w:cs="宋体"/>
          <w:bCs/>
          <w:color w:val="auto"/>
          <w:szCs w:val="21"/>
          <w:highlight w:val="none"/>
        </w:rPr>
        <w:t>1—现浇混凝土柱或剪力墙；2—模块底板；3—模块顶板；4—柱模或墙模；5—叠合板后浇混凝土；6—砂浆层；7—现浇混凝土梁；8—防水胶条；9—模块接缝；10—柔性层</w:t>
      </w:r>
    </w:p>
    <w:p>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设置柔性分隔还可以防止浇筑过程中混凝土流淌至模块间的缝隙，造成梁浇筑不密实。柔性层厚度不宜大于20mm。模块单元安装时为调节模块标高，上下模块单元之间应预留20mm调节间隙，该间隙则通过坐浆填充，坐浆区域应分布在模块底板四周及中间部位且间距不宜过大，保证底板的正常使用。</w:t>
      </w:r>
    </w:p>
    <w:p>
      <w:pPr>
        <w:rPr>
          <w:color w:val="auto"/>
          <w:highlight w:val="none"/>
        </w:rPr>
      </w:pPr>
      <w:r>
        <w:rPr>
          <w:rFonts w:hint="eastAsia" w:eastAsia="Times New Roman"/>
          <w:b/>
          <w:color w:val="auto"/>
          <w:spacing w:val="28"/>
          <w:szCs w:val="21"/>
          <w:highlight w:val="none"/>
        </w:rPr>
        <w:t>5.2.25</w:t>
      </w:r>
      <w:r>
        <w:rPr>
          <w:rFonts w:hint="eastAsia" w:eastAsia="Times New Roman"/>
          <w:b/>
          <w:color w:val="auto"/>
          <w:szCs w:val="21"/>
          <w:highlight w:val="none"/>
        </w:rPr>
        <w:t xml:space="preserve">  </w:t>
      </w:r>
      <w:r>
        <w:rPr>
          <w:rFonts w:hint="eastAsia"/>
          <w:color w:val="auto"/>
          <w:highlight w:val="none"/>
        </w:rPr>
        <w:t>框架梁梁端负弯矩较大，配筋困难，往往会考虑塑性变形内力重分布对梁端负弯矩适当调幅。因此，为避免梁端隔墙或梁模的构造设置影响梁端塑性变形的能力，可考虑隔墙或梁模在梁端箍筋加密区范围内与梁脱开，不进行钢筋锚固连接。</w:t>
      </w:r>
    </w:p>
    <w:p>
      <w:pPr>
        <w:rPr>
          <w:color w:val="auto"/>
          <w:highlight w:val="none"/>
        </w:rPr>
      </w:pPr>
      <w:r>
        <w:rPr>
          <w:rFonts w:hint="eastAsia" w:eastAsia="Times New Roman"/>
          <w:b/>
          <w:color w:val="auto"/>
          <w:spacing w:val="28"/>
          <w:szCs w:val="21"/>
          <w:highlight w:val="none"/>
        </w:rPr>
        <w:t>5.2.26</w:t>
      </w:r>
      <w:r>
        <w:rPr>
          <w:rFonts w:hint="eastAsia" w:eastAsia="Times New Roman"/>
          <w:b/>
          <w:color w:val="auto"/>
          <w:szCs w:val="21"/>
          <w:highlight w:val="none"/>
        </w:rPr>
        <w:t xml:space="preserve">  </w:t>
      </w:r>
      <w:r>
        <w:rPr>
          <w:rFonts w:hint="eastAsia"/>
          <w:color w:val="auto"/>
          <w:highlight w:val="none"/>
        </w:rPr>
        <w:t>本条参考了团体标准《钢筋桁架混凝土叠合板应用技术规程》T/CECS 715中对于叠合板底部不出筋的构造做法，同时考虑到箱模式模块单元的顶板作为叠合板的预制部分，其具体做法与传统叠合板存在区别，模块顶板四周均有结构梁支撑，不存在叠合板之间的拼接，模块顶板的支撑更安全可靠，因此，叠合板现浇层厚度可在《钢筋桁架混凝土叠合板应用技术规程》T/CECS 715要求的基础上适当减小。</w:t>
      </w:r>
    </w:p>
    <w:p>
      <w:pPr>
        <w:rPr>
          <w:color w:val="auto"/>
          <w:highlight w:val="none"/>
        </w:rPr>
      </w:pPr>
      <w:r>
        <w:rPr>
          <w:rFonts w:hint="eastAsia" w:eastAsia="Times New Roman"/>
          <w:b/>
          <w:color w:val="auto"/>
          <w:spacing w:val="28"/>
          <w:szCs w:val="21"/>
          <w:highlight w:val="none"/>
        </w:rPr>
        <w:t>5.2.27</w:t>
      </w:r>
      <w:r>
        <w:rPr>
          <w:rFonts w:hint="eastAsia" w:eastAsia="Times New Roman"/>
          <w:b/>
          <w:color w:val="auto"/>
          <w:szCs w:val="21"/>
          <w:highlight w:val="none"/>
        </w:rPr>
        <w:t xml:space="preserve">  </w:t>
      </w:r>
      <w:r>
        <w:rPr>
          <w:rFonts w:hint="eastAsia"/>
          <w:color w:val="auto"/>
          <w:highlight w:val="none"/>
        </w:rPr>
        <w:t>为避免在地震下非结构构件的脱落破坏，模块单元中的隔墙应与现浇结构部分有连接措施，但为减弱隔墙刚度对结构构件的影响，在两者连接处加设柔性材料进行分隔，同时布置HPB300的钢筋进行连接（图13）。</w:t>
      </w:r>
    </w:p>
    <w:tbl>
      <w:tblPr>
        <w:tblStyle w:val="24"/>
        <w:tblW w:w="0" w:type="auto"/>
        <w:tblInd w:w="0" w:type="dxa"/>
        <w:tblLayout w:type="autofit"/>
        <w:tblCellMar>
          <w:top w:w="0" w:type="dxa"/>
          <w:left w:w="108" w:type="dxa"/>
          <w:bottom w:w="0" w:type="dxa"/>
          <w:right w:w="108" w:type="dxa"/>
        </w:tblCellMar>
      </w:tblPr>
      <w:tblGrid>
        <w:gridCol w:w="9480"/>
      </w:tblGrid>
      <w:tr>
        <w:tblPrEx>
          <w:tblCellMar>
            <w:top w:w="0" w:type="dxa"/>
            <w:left w:w="108" w:type="dxa"/>
            <w:bottom w:w="0" w:type="dxa"/>
            <w:right w:w="108" w:type="dxa"/>
          </w:tblCellMar>
        </w:tblPrEx>
        <w:tc>
          <w:tcPr>
            <w:tcW w:w="9480" w:type="dxa"/>
          </w:tcPr>
          <w:p>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5145405" cy="2126615"/>
                  <wp:effectExtent l="0" t="0" r="5715" b="6985"/>
                  <wp:docPr id="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
                          <pic:cNvPicPr>
                            <a:picLocks noChangeAspect="1"/>
                          </pic:cNvPicPr>
                        </pic:nvPicPr>
                        <pic:blipFill>
                          <a:blip r:embed="rId60"/>
                          <a:stretch>
                            <a:fillRect/>
                          </a:stretch>
                        </pic:blipFill>
                        <pic:spPr>
                          <a:xfrm>
                            <a:off x="0" y="0"/>
                            <a:ext cx="5145405" cy="2126615"/>
                          </a:xfrm>
                          <a:prstGeom prst="rect">
                            <a:avLst/>
                          </a:prstGeom>
                          <a:noFill/>
                          <a:ln>
                            <a:noFill/>
                          </a:ln>
                        </pic:spPr>
                      </pic:pic>
                    </a:graphicData>
                  </a:graphic>
                </wp:inline>
              </w:drawing>
            </w:r>
          </w:p>
        </w:tc>
      </w:tr>
    </w:tbl>
    <w:p>
      <w:pPr>
        <w:pStyle w:val="54"/>
        <w:rPr>
          <w:rFonts w:hint="eastAsia" w:ascii="宋体" w:hAnsi="宋体" w:eastAsia="宋体" w:cs="宋体"/>
          <w:color w:val="auto"/>
          <w:sz w:val="21"/>
          <w:highlight w:val="none"/>
        </w:rPr>
      </w:pPr>
      <w:r>
        <w:rPr>
          <w:rFonts w:hint="eastAsia" w:ascii="宋体" w:hAnsi="宋体" w:eastAsia="宋体" w:cs="宋体"/>
          <w:color w:val="auto"/>
          <w:sz w:val="21"/>
          <w:highlight w:val="none"/>
        </w:rPr>
        <w:t>图13  模块单元外墙与现浇竖向结构构件连接节点示意</w:t>
      </w:r>
    </w:p>
    <w:p>
      <w:pPr>
        <w:pStyle w:val="4"/>
        <w:numPr>
          <w:ilvl w:val="1"/>
          <w:numId w:val="0"/>
        </w:numPr>
        <w:rPr>
          <w:color w:val="auto"/>
          <w:highlight w:val="none"/>
        </w:rPr>
      </w:pPr>
      <w:r>
        <w:rPr>
          <w:rFonts w:eastAsia="Times New Roman"/>
          <w:b/>
          <w:color w:val="auto"/>
          <w:spacing w:val="20"/>
          <w:szCs w:val="21"/>
          <w:highlight w:val="none"/>
        </w:rPr>
        <w:t>5.</w:t>
      </w:r>
      <w:r>
        <w:rPr>
          <w:rFonts w:hint="eastAsia" w:eastAsia="Times New Roman"/>
          <w:b/>
          <w:color w:val="auto"/>
          <w:spacing w:val="20"/>
          <w:szCs w:val="21"/>
          <w:highlight w:val="none"/>
        </w:rPr>
        <w:t xml:space="preserve">3  </w:t>
      </w:r>
      <w:r>
        <w:rPr>
          <w:rFonts w:hint="eastAsia"/>
          <w:color w:val="auto"/>
          <w:highlight w:val="none"/>
        </w:rPr>
        <w:t>结构分析与计算</w:t>
      </w:r>
    </w:p>
    <w:p>
      <w:pPr>
        <w:rPr>
          <w:color w:val="auto"/>
          <w:highlight w:val="none"/>
        </w:rPr>
      </w:pPr>
      <w:r>
        <w:rPr>
          <w:rFonts w:hint="eastAsia" w:eastAsia="Times New Roman"/>
          <w:b/>
          <w:color w:val="auto"/>
          <w:spacing w:val="28"/>
          <w:szCs w:val="21"/>
          <w:highlight w:val="none"/>
        </w:rPr>
        <w:t>5.3.2</w:t>
      </w:r>
      <w:r>
        <w:rPr>
          <w:rFonts w:hint="eastAsia" w:eastAsia="Times New Roman"/>
          <w:b/>
          <w:color w:val="auto"/>
          <w:szCs w:val="21"/>
          <w:highlight w:val="none"/>
        </w:rPr>
        <w:t xml:space="preserve">  </w:t>
      </w:r>
      <w:r>
        <w:rPr>
          <w:color w:val="auto"/>
          <w:highlight w:val="none"/>
        </w:rPr>
        <w:t>对混凝土模块化建筑进行正常使用极限状态验算时，荷载和地震作用的取值及其组合均应按国家现行有关标准执行。</w:t>
      </w:r>
    </w:p>
    <w:p>
      <w:pPr>
        <w:pStyle w:val="74"/>
        <w:ind w:firstLine="0" w:firstLineChars="0"/>
        <w:rPr>
          <w:rFonts w:eastAsia="宋体"/>
          <w:color w:val="auto"/>
          <w:szCs w:val="21"/>
          <w:highlight w:val="none"/>
        </w:rPr>
      </w:pPr>
      <w:r>
        <w:rPr>
          <w:rFonts w:hint="eastAsia" w:eastAsia="Times New Roman"/>
          <w:b/>
          <w:color w:val="auto"/>
          <w:spacing w:val="28"/>
          <w:szCs w:val="21"/>
          <w:highlight w:val="none"/>
        </w:rPr>
        <w:t>5.3.4</w:t>
      </w:r>
      <w:r>
        <w:rPr>
          <w:rFonts w:hint="eastAsia" w:eastAsia="Times New Roman"/>
          <w:b/>
          <w:color w:val="auto"/>
          <w:szCs w:val="21"/>
          <w:highlight w:val="none"/>
        </w:rPr>
        <w:t xml:space="preserve">  </w:t>
      </w:r>
      <w:r>
        <w:rPr>
          <w:rFonts w:hint="eastAsia" w:eastAsia="宋体"/>
          <w:color w:val="auto"/>
          <w:szCs w:val="21"/>
          <w:highlight w:val="none"/>
        </w:rPr>
        <w:t>模块化框架结构由框架式模块组合堆叠而成，对于模块单元而言，单元顶板为一次浇筑成型，可考虑为刚性楼板。对于模块化框架结构而言，楼盖系统由多个模块单元拼接组合而成，当楼盖系统没有额外的加强连接时，不构成连续的楼板，不能将整层楼盖假定为刚性楼板；当楼盖系统在相邻或上下模块板、梁之间增设加强措施，通过试验或理论分析能够使楼板在平面内连续时，可将整层楼盖假定为刚性楼板。</w:t>
      </w:r>
    </w:p>
    <w:p>
      <w:pPr>
        <w:pStyle w:val="74"/>
        <w:ind w:firstLine="0" w:firstLineChars="0"/>
        <w:rPr>
          <w:rFonts w:eastAsia="宋体"/>
          <w:color w:val="auto"/>
          <w:szCs w:val="21"/>
          <w:highlight w:val="none"/>
        </w:rPr>
      </w:pPr>
      <w:r>
        <w:rPr>
          <w:rFonts w:hint="eastAsia" w:eastAsia="Times New Roman"/>
          <w:b/>
          <w:color w:val="auto"/>
          <w:spacing w:val="28"/>
          <w:szCs w:val="21"/>
          <w:highlight w:val="none"/>
        </w:rPr>
        <w:t>5.3.10</w:t>
      </w:r>
      <w:r>
        <w:rPr>
          <w:rFonts w:hint="eastAsia" w:eastAsia="Times New Roman"/>
          <w:b/>
          <w:color w:val="auto"/>
          <w:szCs w:val="21"/>
          <w:highlight w:val="none"/>
        </w:rPr>
        <w:t xml:space="preserve">  </w:t>
      </w:r>
      <w:r>
        <w:rPr>
          <w:rFonts w:hint="eastAsia" w:eastAsia="宋体"/>
          <w:color w:val="auto"/>
          <w:szCs w:val="21"/>
          <w:highlight w:val="none"/>
        </w:rPr>
        <w:t>在进行结构的整体计算分析时，由于仅考虑了主要承重构件（梁、柱、剪力墙等）的刚度，没有考虑非承重构件刚度，从而导致结构自振周期比实际情况大，使得地震力偏小。对于模块化箱模结构，其非承重墙体大多采用轻质材料，相关实验（图11）结果表明隔墙具有一定的刚度，建议模块化现浇框架结构的周期折减系数取0.6~0.7；当剪力墙仅在短边方向设置隔断时（图14-a），模块化现浇剪力墙结构的周期折减系数取0.8，当剪力墙在长边及短边方向均设置隔断时（图14-b），模块化现浇剪力墙结构的周期折减系数取0.9。</w:t>
      </w:r>
    </w:p>
    <w:tbl>
      <w:tblPr>
        <w:tblStyle w:val="24"/>
        <w:tblW w:w="0" w:type="auto"/>
        <w:jc w:val="center"/>
        <w:tblLayout w:type="autofit"/>
        <w:tblCellMar>
          <w:top w:w="0" w:type="dxa"/>
          <w:left w:w="108" w:type="dxa"/>
          <w:bottom w:w="0" w:type="dxa"/>
          <w:right w:w="108" w:type="dxa"/>
        </w:tblCellMar>
      </w:tblPr>
      <w:tblGrid>
        <w:gridCol w:w="4261"/>
        <w:gridCol w:w="4261"/>
      </w:tblGrid>
      <w:tr>
        <w:tblPrEx>
          <w:tblCellMar>
            <w:top w:w="0" w:type="dxa"/>
            <w:left w:w="108" w:type="dxa"/>
            <w:bottom w:w="0" w:type="dxa"/>
            <w:right w:w="108" w:type="dxa"/>
          </w:tblCellMar>
        </w:tblPrEx>
        <w:trPr>
          <w:jc w:val="center"/>
        </w:trPr>
        <w:tc>
          <w:tcPr>
            <w:tcW w:w="4261" w:type="dxa"/>
            <w:vAlign w:val="center"/>
          </w:tcPr>
          <w:p>
            <w:pPr>
              <w:adjustRightInd w:val="0"/>
              <w:snapToGrid w:val="0"/>
              <w:jc w:val="center"/>
              <w:rPr>
                <w:color w:val="auto"/>
                <w:highlight w:val="none"/>
              </w:rPr>
            </w:pPr>
            <w:r>
              <w:rPr>
                <w:color w:val="auto"/>
                <w:highlight w:val="none"/>
              </w:rPr>
              <w:drawing>
                <wp:inline distT="0" distB="0" distL="114300" distR="114300">
                  <wp:extent cx="750570" cy="1800225"/>
                  <wp:effectExtent l="0" t="0" r="11430" b="13335"/>
                  <wp:docPr id="10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44"/>
                          <pic:cNvPicPr>
                            <a:picLocks noChangeAspect="1"/>
                          </pic:cNvPicPr>
                        </pic:nvPicPr>
                        <pic:blipFill>
                          <a:blip r:embed="rId61"/>
                          <a:stretch>
                            <a:fillRect/>
                          </a:stretch>
                        </pic:blipFill>
                        <pic:spPr>
                          <a:xfrm>
                            <a:off x="0" y="0"/>
                            <a:ext cx="750570" cy="1800225"/>
                          </a:xfrm>
                          <a:prstGeom prst="rect">
                            <a:avLst/>
                          </a:prstGeom>
                          <a:noFill/>
                          <a:ln>
                            <a:noFill/>
                          </a:ln>
                        </pic:spPr>
                      </pic:pic>
                    </a:graphicData>
                  </a:graphic>
                </wp:inline>
              </w:drawing>
            </w:r>
          </w:p>
        </w:tc>
        <w:tc>
          <w:tcPr>
            <w:tcW w:w="4261" w:type="dxa"/>
            <w:vAlign w:val="center"/>
          </w:tcPr>
          <w:p>
            <w:pPr>
              <w:adjustRightInd w:val="0"/>
              <w:snapToGrid w:val="0"/>
              <w:jc w:val="center"/>
              <w:rPr>
                <w:color w:val="auto"/>
                <w:highlight w:val="none"/>
              </w:rPr>
            </w:pPr>
            <w:r>
              <w:rPr>
                <w:color w:val="auto"/>
                <w:highlight w:val="none"/>
              </w:rPr>
              <w:drawing>
                <wp:inline distT="0" distB="0" distL="114300" distR="114300">
                  <wp:extent cx="763905" cy="1800225"/>
                  <wp:effectExtent l="0" t="0" r="13335" b="13335"/>
                  <wp:docPr id="10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45"/>
                          <pic:cNvPicPr>
                            <a:picLocks noChangeAspect="1"/>
                          </pic:cNvPicPr>
                        </pic:nvPicPr>
                        <pic:blipFill>
                          <a:blip r:embed="rId62"/>
                          <a:stretch>
                            <a:fillRect/>
                          </a:stretch>
                        </pic:blipFill>
                        <pic:spPr>
                          <a:xfrm>
                            <a:off x="0" y="0"/>
                            <a:ext cx="763905" cy="1800225"/>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4261" w:type="dxa"/>
            <w:vAlign w:val="center"/>
          </w:tcPr>
          <w:p>
            <w:pPr>
              <w:tabs>
                <w:tab w:val="left" w:pos="0"/>
              </w:tabs>
              <w:jc w:val="center"/>
              <w:rPr>
                <w:rFonts w:hint="eastAsia" w:ascii="宋体" w:hAnsi="宋体" w:cs="宋体"/>
                <w:bCs/>
                <w:color w:val="auto"/>
                <w:szCs w:val="21"/>
                <w:highlight w:val="none"/>
              </w:rPr>
            </w:pPr>
            <w:r>
              <w:rPr>
                <w:rFonts w:hint="eastAsia" w:ascii="宋体" w:hAnsi="宋体" w:cs="宋体"/>
                <w:bCs/>
                <w:color w:val="auto"/>
                <w:szCs w:val="21"/>
                <w:highlight w:val="none"/>
              </w:rPr>
              <w:t>(a)  端部设置隔断</w:t>
            </w:r>
          </w:p>
        </w:tc>
        <w:tc>
          <w:tcPr>
            <w:tcW w:w="4261" w:type="dxa"/>
            <w:vAlign w:val="center"/>
          </w:tcPr>
          <w:p>
            <w:pPr>
              <w:tabs>
                <w:tab w:val="left" w:pos="0"/>
              </w:tabs>
              <w:jc w:val="center"/>
              <w:rPr>
                <w:rFonts w:hint="eastAsia" w:ascii="宋体" w:hAnsi="宋体" w:cs="宋体"/>
                <w:bCs/>
                <w:color w:val="auto"/>
                <w:szCs w:val="21"/>
                <w:highlight w:val="none"/>
              </w:rPr>
            </w:pPr>
            <w:r>
              <w:rPr>
                <w:rFonts w:hint="eastAsia" w:ascii="宋体" w:hAnsi="宋体" w:cs="宋体"/>
                <w:bCs/>
                <w:color w:val="auto"/>
                <w:szCs w:val="21"/>
                <w:highlight w:val="none"/>
              </w:rPr>
              <w:t>(b)  长、短边均设置隔断</w:t>
            </w:r>
          </w:p>
        </w:tc>
      </w:tr>
    </w:tbl>
    <w:p>
      <w:pPr>
        <w:pStyle w:val="74"/>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图14  箱模式模块单元与现浇剪力墙的水平布置示意</w:t>
      </w:r>
    </w:p>
    <w:p>
      <w:pPr>
        <w:pStyle w:val="74"/>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1—现浇混凝土剪力墙；2—右方箱模式模块单元；3—左方箱模式模块单元；4—模块接缝；</w:t>
      </w:r>
    </w:p>
    <w:p>
      <w:pPr>
        <w:pStyle w:val="74"/>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5—浇筑剪力墙时用模板；6—聚苯板；7—防水胶条</w:t>
      </w:r>
    </w:p>
    <w:p>
      <w:pPr>
        <w:pStyle w:val="74"/>
        <w:ind w:firstLine="0" w:firstLineChars="0"/>
        <w:rPr>
          <w:rFonts w:eastAsia="宋体"/>
          <w:color w:val="auto"/>
          <w:szCs w:val="21"/>
          <w:highlight w:val="none"/>
        </w:rPr>
      </w:pPr>
      <w:r>
        <w:rPr>
          <w:rFonts w:hint="eastAsia" w:eastAsia="Times New Roman"/>
          <w:b/>
          <w:color w:val="auto"/>
          <w:spacing w:val="28"/>
          <w:szCs w:val="21"/>
          <w:highlight w:val="none"/>
        </w:rPr>
        <w:t>5.3.11</w:t>
      </w:r>
      <w:r>
        <w:rPr>
          <w:rFonts w:hint="eastAsia" w:eastAsia="Times New Roman"/>
          <w:b/>
          <w:color w:val="auto"/>
          <w:szCs w:val="21"/>
          <w:highlight w:val="none"/>
        </w:rPr>
        <w:t xml:space="preserve">  </w:t>
      </w:r>
      <w:r>
        <w:rPr>
          <w:rFonts w:hint="eastAsia" w:eastAsia="宋体"/>
          <w:color w:val="auto"/>
          <w:szCs w:val="21"/>
          <w:highlight w:val="none"/>
        </w:rPr>
        <w:t>楼盖体系在结构，特别是装配式结构的传力系统中起着非常重要的作用，国外对楼盖体系的薄膜效应做过长期深入的研究，证实了上述论点。因此，应对楼盖系统与主体结构的连接构造给予特别关注。</w:t>
      </w:r>
    </w:p>
    <w:p>
      <w:pPr>
        <w:pStyle w:val="74"/>
        <w:rPr>
          <w:rFonts w:eastAsia="宋体"/>
          <w:color w:val="auto"/>
          <w:szCs w:val="21"/>
          <w:highlight w:val="none"/>
        </w:rPr>
      </w:pPr>
      <w:r>
        <w:rPr>
          <w:rFonts w:hint="eastAsia" w:eastAsia="宋体"/>
          <w:color w:val="auto"/>
          <w:szCs w:val="21"/>
          <w:highlight w:val="none"/>
        </w:rPr>
        <w:t>模块化现浇框架和剪力墙结构中所采用的叠合楼盖与传统装配式结构所采用的叠合楼盖在施工方式和力学性能等方面基本一致，可参照现行行业标准《装配式混凝土结构技术规程》JGJ 1中关于叠合楼盖的有关规定进行设计。</w:t>
      </w:r>
    </w:p>
    <w:p>
      <w:pPr>
        <w:pStyle w:val="74"/>
        <w:ind w:firstLine="0" w:firstLineChars="0"/>
        <w:rPr>
          <w:rFonts w:eastAsia="宋体"/>
          <w:color w:val="auto"/>
          <w:szCs w:val="21"/>
          <w:highlight w:val="none"/>
        </w:rPr>
      </w:pPr>
      <w:r>
        <w:rPr>
          <w:rFonts w:hint="eastAsia" w:eastAsia="Times New Roman"/>
          <w:b/>
          <w:color w:val="auto"/>
          <w:spacing w:val="28"/>
          <w:szCs w:val="21"/>
          <w:highlight w:val="none"/>
        </w:rPr>
        <w:t>5.3.12</w:t>
      </w:r>
      <w:r>
        <w:rPr>
          <w:rFonts w:hint="eastAsia" w:eastAsia="Times New Roman"/>
          <w:b/>
          <w:color w:val="auto"/>
          <w:szCs w:val="21"/>
          <w:highlight w:val="none"/>
        </w:rPr>
        <w:t xml:space="preserve">  </w:t>
      </w:r>
      <w:r>
        <w:rPr>
          <w:rFonts w:hint="eastAsia" w:eastAsia="宋体"/>
          <w:color w:val="auto"/>
          <w:szCs w:val="21"/>
          <w:highlight w:val="none"/>
        </w:rPr>
        <w:t>模块化箱模结构中，箱模式模块单元的围护墙体部分可作为现浇结构的模板，一般不参与结构受力，当墙模上附加桁架钢筋或其他可靠连接与主体结构相连后，可通过试验研究等方式，论证其工作性能，考虑墙模作为剪力墙的一部分参与受力计算，从而减小墙模对室内使用空间压缩的影响，但为了保证剪力墙边缘构件在大震下的性能，不过多减小箍筋包裹的混凝土范围，墙模不能全部计入混凝土保护层。墙模内配筋与桁架钢筋构造示意如图15所示，其分布钢筋间距不宜大于150mm，主要为了保证墙模在起吊、安装、施工等临时状态下有较好的抗裂性能。</w:t>
      </w:r>
    </w:p>
    <w:p>
      <w:pPr>
        <w:pStyle w:val="74"/>
        <w:rPr>
          <w:rFonts w:eastAsia="宋体"/>
          <w:color w:val="auto"/>
          <w:szCs w:val="21"/>
          <w:highlight w:val="none"/>
        </w:rPr>
      </w:pPr>
      <w:r>
        <w:rPr>
          <w:rFonts w:hint="eastAsia" w:eastAsia="宋体"/>
          <w:color w:val="auto"/>
          <w:szCs w:val="21"/>
          <w:highlight w:val="none"/>
        </w:rPr>
        <w:t>为减轻模块单元重量，墙模、梁模及叠合板预制层的厚度尽可能地</w:t>
      </w:r>
      <w:r>
        <w:rPr>
          <w:rFonts w:hint="eastAsia" w:eastAsia="宋体"/>
          <w:color w:val="auto"/>
          <w:szCs w:val="21"/>
          <w:highlight w:val="none"/>
          <w:lang w:val="en-US" w:eastAsia="zh-CN"/>
        </w:rPr>
        <w:t>减小</w:t>
      </w:r>
      <w:r>
        <w:rPr>
          <w:rFonts w:hint="eastAsia" w:eastAsia="宋体"/>
          <w:color w:val="auto"/>
          <w:szCs w:val="21"/>
          <w:highlight w:val="none"/>
        </w:rPr>
        <w:t>，因此可以采用一些高强度、高延性的混凝土材料，其中UHPC、ECC等纤维增强水泥基材料比较合适。如果应用于实际工程，需要补充此部分高性能混凝土的耐久性试验以及与普通混凝土共同工作的力学性能试验。</w:t>
      </w:r>
    </w:p>
    <w:p>
      <w:pPr>
        <w:pStyle w:val="74"/>
        <w:jc w:val="center"/>
        <w:rPr>
          <w:rFonts w:eastAsia="宋体"/>
          <w:color w:val="auto"/>
          <w:szCs w:val="21"/>
          <w:highlight w:val="none"/>
        </w:rPr>
      </w:pPr>
      <w:r>
        <w:rPr>
          <w:rFonts w:hint="eastAsia" w:eastAsia="宋体"/>
          <w:color w:val="auto"/>
          <w:szCs w:val="21"/>
          <w:highlight w:val="none"/>
        </w:rPr>
        <w:drawing>
          <wp:inline distT="0" distB="0" distL="114300" distR="114300">
            <wp:extent cx="2823845" cy="981075"/>
            <wp:effectExtent l="0" t="0" r="10795" b="9525"/>
            <wp:docPr id="111" name="图片 364886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64886972"/>
                    <pic:cNvPicPr>
                      <a:picLocks noChangeAspect="1"/>
                    </pic:cNvPicPr>
                  </pic:nvPicPr>
                  <pic:blipFill>
                    <a:blip r:embed="rId63"/>
                    <a:srcRect t="10097" b="16284"/>
                    <a:stretch>
                      <a:fillRect/>
                    </a:stretch>
                  </pic:blipFill>
                  <pic:spPr>
                    <a:xfrm>
                      <a:off x="0" y="0"/>
                      <a:ext cx="2823845" cy="981075"/>
                    </a:xfrm>
                    <a:prstGeom prst="rect">
                      <a:avLst/>
                    </a:prstGeom>
                    <a:noFill/>
                    <a:ln>
                      <a:noFill/>
                    </a:ln>
                  </pic:spPr>
                </pic:pic>
              </a:graphicData>
            </a:graphic>
          </wp:inline>
        </w:drawing>
      </w:r>
    </w:p>
    <w:p>
      <w:pPr>
        <w:pStyle w:val="74"/>
        <w:jc w:val="center"/>
        <w:rPr>
          <w:rFonts w:eastAsia="宋体"/>
          <w:color w:val="auto"/>
          <w:szCs w:val="21"/>
          <w:highlight w:val="none"/>
        </w:rPr>
      </w:pPr>
      <w:r>
        <w:rPr>
          <w:rFonts w:hint="eastAsia" w:eastAsia="宋体"/>
          <w:color w:val="auto"/>
          <w:szCs w:val="21"/>
          <w:highlight w:val="none"/>
        </w:rPr>
        <w:t>图15  墙模钢筋构造示意图</w:t>
      </w:r>
    </w:p>
    <w:p>
      <w:pPr>
        <w:pStyle w:val="74"/>
        <w:rPr>
          <w:rFonts w:eastAsia="宋体"/>
          <w:color w:val="auto"/>
          <w:szCs w:val="21"/>
          <w:highlight w:val="none"/>
        </w:rPr>
      </w:pPr>
      <w:r>
        <w:rPr>
          <w:rFonts w:hint="eastAsia" w:eastAsia="宋体"/>
          <w:color w:val="auto"/>
          <w:szCs w:val="21"/>
          <w:highlight w:val="none"/>
        </w:rPr>
        <w:t>对上述构造墙模进行了墙模剪力墙抗震性能试验（图16），试验结果表明：该剪力墙的破坏表现为剪力墙底部两侧混凝土压溃，墙模与后浇混凝土连接可靠，两者的位移变形基本一致，全程未出现连接界面的错动与分层，剪力墙极限位移角达到1/70，抗震性能良好。</w:t>
      </w:r>
    </w:p>
    <w:p>
      <w:pPr>
        <w:pStyle w:val="74"/>
        <w:jc w:val="center"/>
        <w:rPr>
          <w:rFonts w:eastAsia="宋体"/>
          <w:color w:val="auto"/>
          <w:szCs w:val="21"/>
          <w:highlight w:val="none"/>
        </w:rPr>
      </w:pPr>
      <w:r>
        <w:rPr>
          <w:rFonts w:hint="eastAsia" w:eastAsia="宋体"/>
          <w:color w:val="auto"/>
          <w:szCs w:val="21"/>
          <w:highlight w:val="none"/>
        </w:rPr>
        <w:drawing>
          <wp:inline distT="0" distB="0" distL="114300" distR="114300">
            <wp:extent cx="2880360" cy="2160270"/>
            <wp:effectExtent l="0" t="0" r="0" b="3810"/>
            <wp:docPr id="112" name="图片 432021863" descr="C:\Users\LENOVO\AppData\Local\Temp\WeChat Files\e565c26234618f6d596fd638db6eb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32021863" descr="C:\Users\LENOVO\AppData\Local\Temp\WeChat Files\e565c26234618f6d596fd638db6eb55.jpg"/>
                    <pic:cNvPicPr>
                      <a:picLocks noChangeAspect="1"/>
                    </pic:cNvPicPr>
                  </pic:nvPicPr>
                  <pic:blipFill>
                    <a:blip r:embed="rId64"/>
                    <a:stretch>
                      <a:fillRect/>
                    </a:stretch>
                  </pic:blipFill>
                  <pic:spPr>
                    <a:xfrm>
                      <a:off x="0" y="0"/>
                      <a:ext cx="2880360" cy="2160270"/>
                    </a:xfrm>
                    <a:prstGeom prst="rect">
                      <a:avLst/>
                    </a:prstGeom>
                    <a:noFill/>
                    <a:ln>
                      <a:noFill/>
                    </a:ln>
                  </pic:spPr>
                </pic:pic>
              </a:graphicData>
            </a:graphic>
          </wp:inline>
        </w:drawing>
      </w:r>
    </w:p>
    <w:p>
      <w:pPr>
        <w:pStyle w:val="74"/>
        <w:jc w:val="center"/>
        <w:rPr>
          <w:rFonts w:eastAsia="宋体"/>
          <w:color w:val="auto"/>
          <w:szCs w:val="21"/>
          <w:highlight w:val="none"/>
        </w:rPr>
      </w:pPr>
      <w:r>
        <w:rPr>
          <w:rFonts w:hint="eastAsia" w:eastAsia="宋体"/>
          <w:color w:val="auto"/>
          <w:szCs w:val="21"/>
          <w:highlight w:val="none"/>
        </w:rPr>
        <w:t>图16  墙模侧剪力墙试件破坏图</w:t>
      </w:r>
    </w:p>
    <w:p>
      <w:pPr>
        <w:pStyle w:val="74"/>
        <w:jc w:val="center"/>
        <w:rPr>
          <w:rFonts w:eastAsia="宋体"/>
          <w:color w:val="auto"/>
          <w:szCs w:val="21"/>
          <w:highlight w:val="none"/>
        </w:rPr>
      </w:pPr>
      <w:r>
        <w:rPr>
          <w:rFonts w:hint="eastAsia" w:eastAsia="宋体"/>
          <w:color w:val="auto"/>
          <w:szCs w:val="21"/>
          <w:highlight w:val="none"/>
        </w:rPr>
        <w:drawing>
          <wp:inline distT="0" distB="0" distL="114300" distR="114300">
            <wp:extent cx="2524125" cy="1981200"/>
            <wp:effectExtent l="0" t="0" r="5715" b="0"/>
            <wp:docPr id="11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0"/>
                    <pic:cNvPicPr>
                      <a:picLocks noChangeAspect="1"/>
                    </pic:cNvPicPr>
                  </pic:nvPicPr>
                  <pic:blipFill>
                    <a:blip r:embed="rId65"/>
                    <a:stretch>
                      <a:fillRect/>
                    </a:stretch>
                  </pic:blipFill>
                  <pic:spPr>
                    <a:xfrm>
                      <a:off x="0" y="0"/>
                      <a:ext cx="2524125" cy="1981200"/>
                    </a:xfrm>
                    <a:prstGeom prst="rect">
                      <a:avLst/>
                    </a:prstGeom>
                    <a:noFill/>
                    <a:ln>
                      <a:noFill/>
                    </a:ln>
                  </pic:spPr>
                </pic:pic>
              </a:graphicData>
            </a:graphic>
          </wp:inline>
        </w:drawing>
      </w:r>
    </w:p>
    <w:p>
      <w:pPr>
        <w:pStyle w:val="74"/>
        <w:jc w:val="center"/>
        <w:rPr>
          <w:rFonts w:eastAsia="宋体"/>
          <w:color w:val="auto"/>
          <w:szCs w:val="21"/>
          <w:highlight w:val="none"/>
        </w:rPr>
      </w:pPr>
      <w:r>
        <w:rPr>
          <w:rFonts w:hint="eastAsia" w:eastAsia="宋体"/>
          <w:color w:val="auto"/>
          <w:szCs w:val="21"/>
          <w:highlight w:val="none"/>
        </w:rPr>
        <w:t>图17  墙模剪力墙滞回曲线</w:t>
      </w:r>
    </w:p>
    <w:p>
      <w:pPr>
        <w:pStyle w:val="4"/>
        <w:numPr>
          <w:ilvl w:val="1"/>
          <w:numId w:val="0"/>
        </w:numPr>
        <w:rPr>
          <w:color w:val="auto"/>
          <w:highlight w:val="none"/>
        </w:rPr>
      </w:pPr>
      <w:r>
        <w:rPr>
          <w:rFonts w:eastAsia="Times New Roman"/>
          <w:b/>
          <w:color w:val="auto"/>
          <w:spacing w:val="20"/>
          <w:szCs w:val="21"/>
          <w:highlight w:val="none"/>
        </w:rPr>
        <w:t>5.</w:t>
      </w:r>
      <w:r>
        <w:rPr>
          <w:rFonts w:hint="eastAsia" w:eastAsia="Times New Roman"/>
          <w:b/>
          <w:color w:val="auto"/>
          <w:spacing w:val="20"/>
          <w:szCs w:val="21"/>
          <w:highlight w:val="none"/>
        </w:rPr>
        <w:t xml:space="preserve">4  </w:t>
      </w:r>
      <w:r>
        <w:rPr>
          <w:rFonts w:hint="eastAsia"/>
          <w:color w:val="auto"/>
          <w:highlight w:val="none"/>
        </w:rPr>
        <w:t>模块单元设计</w:t>
      </w:r>
    </w:p>
    <w:p>
      <w:pPr>
        <w:pStyle w:val="74"/>
        <w:ind w:firstLine="0" w:firstLineChars="0"/>
        <w:rPr>
          <w:rFonts w:eastAsia="宋体"/>
          <w:color w:val="auto"/>
          <w:szCs w:val="21"/>
          <w:highlight w:val="none"/>
        </w:rPr>
      </w:pPr>
      <w:r>
        <w:rPr>
          <w:rFonts w:hint="eastAsia" w:eastAsia="Times New Roman"/>
          <w:b/>
          <w:color w:val="auto"/>
          <w:spacing w:val="28"/>
          <w:szCs w:val="21"/>
          <w:highlight w:val="none"/>
        </w:rPr>
        <w:t>5.4.7</w:t>
      </w:r>
      <w:r>
        <w:rPr>
          <w:rFonts w:hint="eastAsia" w:eastAsia="Times New Roman"/>
          <w:b/>
          <w:color w:val="auto"/>
          <w:szCs w:val="21"/>
          <w:highlight w:val="none"/>
        </w:rPr>
        <w:t xml:space="preserve">  </w:t>
      </w:r>
      <w:r>
        <w:rPr>
          <w:rFonts w:hint="eastAsia" w:eastAsia="宋体"/>
          <w:color w:val="auto"/>
          <w:szCs w:val="21"/>
          <w:highlight w:val="none"/>
        </w:rPr>
        <w:t>轻质墙体可采用轻质混凝土墙、轻钢龙骨墙等</w:t>
      </w:r>
      <w:r>
        <w:rPr>
          <w:rFonts w:hint="eastAsia" w:eastAsia="宋体"/>
          <w:color w:val="auto"/>
          <w:szCs w:val="21"/>
          <w:highlight w:val="none"/>
          <w:lang w:eastAsia="zh-CN"/>
        </w:rPr>
        <w:t>其他</w:t>
      </w:r>
      <w:r>
        <w:rPr>
          <w:rFonts w:hint="eastAsia" w:eastAsia="宋体"/>
          <w:color w:val="auto"/>
          <w:szCs w:val="21"/>
          <w:highlight w:val="none"/>
        </w:rPr>
        <w:t>轻质材料墙体，当采用轻质混凝土墙体时，应满足相关的设计要求以保证模块单元在临时状态下的受力性能，当采用轻钢龙骨墙时，应对墙体进行临时状态下的设计，保证其吊装、</w:t>
      </w:r>
      <w:r>
        <w:rPr>
          <w:rFonts w:hint="eastAsia" w:eastAsia="宋体"/>
          <w:color w:val="auto"/>
          <w:szCs w:val="21"/>
          <w:highlight w:val="none"/>
          <w:lang w:eastAsia="zh-CN"/>
        </w:rPr>
        <w:t>运输</w:t>
      </w:r>
      <w:r>
        <w:rPr>
          <w:rFonts w:hint="eastAsia" w:eastAsia="宋体"/>
          <w:color w:val="auto"/>
          <w:szCs w:val="21"/>
          <w:highlight w:val="none"/>
          <w:lang w:val="en-US" w:eastAsia="zh-CN"/>
        </w:rPr>
        <w:t>过程中</w:t>
      </w:r>
      <w:r>
        <w:rPr>
          <w:rFonts w:hint="eastAsia" w:eastAsia="宋体"/>
          <w:color w:val="auto"/>
          <w:szCs w:val="21"/>
          <w:highlight w:val="none"/>
        </w:rPr>
        <w:t>的性能。</w:t>
      </w:r>
    </w:p>
    <w:p>
      <w:pPr>
        <w:rPr>
          <w:color w:val="auto"/>
          <w:highlight w:val="none"/>
        </w:rPr>
      </w:pPr>
      <w:r>
        <w:rPr>
          <w:rFonts w:hint="eastAsia" w:eastAsia="Times New Roman"/>
          <w:b/>
          <w:color w:val="auto"/>
          <w:spacing w:val="28"/>
          <w:szCs w:val="21"/>
          <w:highlight w:val="none"/>
        </w:rPr>
        <w:t>5.4.8</w:t>
      </w:r>
      <w:r>
        <w:rPr>
          <w:rFonts w:hint="eastAsia" w:eastAsia="Times New Roman"/>
          <w:b/>
          <w:color w:val="auto"/>
          <w:szCs w:val="21"/>
          <w:highlight w:val="none"/>
        </w:rPr>
        <w:t xml:space="preserve">  </w:t>
      </w:r>
      <w:r>
        <w:rPr>
          <w:rFonts w:hint="eastAsia"/>
          <w:color w:val="auto"/>
          <w:szCs w:val="21"/>
          <w:highlight w:val="none"/>
        </w:rPr>
        <w:t>墙模、梁模作为箱模式模块单元中隔墙的重要组成部分，既作为模块单元的围护墙体，又兼做混凝土浇筑时的模板，其厚度不宜过大，避免过度挤压室内使用空间，为满足墙模、梁模在施工过程中，不出现较大变形或开裂，应加入钢筋，宜选用C50以上强度等级的混凝土，保证其受力性能，增强抗裂性。</w:t>
      </w:r>
    </w:p>
    <w:p>
      <w:pPr>
        <w:pStyle w:val="4"/>
        <w:numPr>
          <w:ilvl w:val="1"/>
          <w:numId w:val="0"/>
        </w:numPr>
        <w:rPr>
          <w:color w:val="auto"/>
          <w:highlight w:val="none"/>
        </w:rPr>
      </w:pPr>
      <w:r>
        <w:rPr>
          <w:rFonts w:eastAsia="Times New Roman"/>
          <w:b/>
          <w:color w:val="auto"/>
          <w:spacing w:val="20"/>
          <w:szCs w:val="21"/>
          <w:highlight w:val="none"/>
        </w:rPr>
        <w:t>5.</w:t>
      </w:r>
      <w:r>
        <w:rPr>
          <w:rFonts w:hint="eastAsia" w:eastAsia="Times New Roman"/>
          <w:b/>
          <w:color w:val="auto"/>
          <w:spacing w:val="20"/>
          <w:szCs w:val="21"/>
          <w:highlight w:val="none"/>
        </w:rPr>
        <w:t xml:space="preserve">5  </w:t>
      </w:r>
      <w:r>
        <w:rPr>
          <w:rFonts w:hint="eastAsia"/>
          <w:color w:val="auto"/>
          <w:highlight w:val="none"/>
        </w:rPr>
        <w:t>模块单元短暂设计状况的验算</w:t>
      </w:r>
    </w:p>
    <w:p>
      <w:pPr>
        <w:rPr>
          <w:color w:val="auto"/>
          <w:highlight w:val="none"/>
        </w:rPr>
      </w:pPr>
      <w:r>
        <w:rPr>
          <w:rFonts w:hint="eastAsia" w:eastAsia="Times New Roman"/>
          <w:b/>
          <w:color w:val="auto"/>
          <w:spacing w:val="28"/>
          <w:highlight w:val="none"/>
        </w:rPr>
        <w:t>5.5.</w:t>
      </w:r>
      <w:r>
        <w:rPr>
          <w:rFonts w:hint="eastAsia"/>
          <w:b/>
          <w:color w:val="auto"/>
          <w:spacing w:val="28"/>
          <w:highlight w:val="none"/>
        </w:rPr>
        <w:t>3</w:t>
      </w:r>
      <w:r>
        <w:rPr>
          <w:rFonts w:hint="eastAsia"/>
          <w:color w:val="auto"/>
          <w:highlight w:val="none"/>
        </w:rPr>
        <w:t xml:space="preserve">  模块起吊吊点设置应确保所有吊点都能工作，若有吊点布置不合理，会出现吊点不受力或者受压情况出现，导致吊点计算结果错误；</w:t>
      </w:r>
    </w:p>
    <w:p>
      <w:pPr>
        <w:ind w:firstLine="420" w:firstLineChars="200"/>
        <w:rPr>
          <w:color w:val="auto"/>
          <w:highlight w:val="none"/>
        </w:rPr>
      </w:pPr>
      <w:r>
        <w:rPr>
          <w:rFonts w:hint="eastAsia"/>
          <w:color w:val="auto"/>
          <w:highlight w:val="none"/>
        </w:rPr>
        <w:t>起吊阶段若因偏心弯矩导致出现受压状况，说明吊点布置不合理，应予以调整，直至所布置吊点全部受拉。吊点力计算应考虑均匀受力情况下其合力作用线可能会与模块重心存在偏心情况，吊点力计算时应考虑该偏心距的影响。具体计算可参考如下方式：</w:t>
      </w:r>
    </w:p>
    <w:p>
      <w:pPr>
        <w:jc w:val="center"/>
        <w:rPr>
          <w:color w:val="auto"/>
          <w:highlight w:val="none"/>
        </w:rPr>
      </w:pPr>
      <w:r>
        <w:rPr>
          <w:color w:val="auto"/>
          <w:szCs w:val="21"/>
          <w:highlight w:val="none"/>
        </w:rPr>
        <w:drawing>
          <wp:inline distT="0" distB="0" distL="114300" distR="114300">
            <wp:extent cx="3970020" cy="2122170"/>
            <wp:effectExtent l="0" t="0" r="7620" b="11430"/>
            <wp:docPr id="1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5"/>
                    <pic:cNvPicPr>
                      <a:picLocks noChangeAspect="1"/>
                    </pic:cNvPicPr>
                  </pic:nvPicPr>
                  <pic:blipFill>
                    <a:blip r:embed="rId66"/>
                    <a:stretch>
                      <a:fillRect/>
                    </a:stretch>
                  </pic:blipFill>
                  <pic:spPr>
                    <a:xfrm>
                      <a:off x="0" y="0"/>
                      <a:ext cx="3970020" cy="2122170"/>
                    </a:xfrm>
                    <a:prstGeom prst="rect">
                      <a:avLst/>
                    </a:prstGeom>
                    <a:noFill/>
                    <a:ln>
                      <a:noFill/>
                    </a:ln>
                  </pic:spPr>
                </pic:pic>
              </a:graphicData>
            </a:graphic>
          </wp:inline>
        </w:drawing>
      </w:r>
    </w:p>
    <w:p>
      <w:pPr>
        <w:jc w:val="center"/>
        <w:rPr>
          <w:color w:val="auto"/>
          <w:highlight w:val="none"/>
        </w:rPr>
      </w:pPr>
      <w:r>
        <w:rPr>
          <w:rFonts w:hint="eastAsia"/>
          <w:color w:val="auto"/>
          <w:highlight w:val="none"/>
        </w:rPr>
        <w:t>图18  模块吊点布置示意图</w:t>
      </w:r>
    </w:p>
    <w:p>
      <w:pPr>
        <w:rPr>
          <w:color w:val="auto"/>
          <w:highlight w:val="none"/>
        </w:rPr>
      </w:pPr>
      <w:r>
        <w:rPr>
          <w:rFonts w:hint="eastAsia"/>
          <w:color w:val="auto"/>
          <w:highlight w:val="none"/>
        </w:rPr>
        <w:t>各吊点力计算公式应符合下列规定：</w:t>
      </w:r>
    </w:p>
    <w:p>
      <w:pPr>
        <w:jc w:val="center"/>
        <w:rPr>
          <w:color w:val="auto"/>
          <w:szCs w:val="21"/>
          <w:highlight w:val="none"/>
        </w:rPr>
      </w:pPr>
      <m:oMathPara>
        <m:oMathParaPr>
          <m:jc m:val="center"/>
        </m:oMathParaPr>
        <m:oMath>
          <m:sSub>
            <m:sSubPr>
              <m:ctrlPr>
                <w:rPr>
                  <w:rFonts w:ascii="Cambria Math" w:hAnsi="Cambria Math"/>
                  <w:i/>
                  <w:color w:val="auto"/>
                  <w:highlight w:val="none"/>
                </w:rPr>
              </m:ctrlPr>
            </m:sSubPr>
            <m:e>
              <m:r>
                <m:rPr>
                  <m:nor/>
                </m:rPr>
                <w:rPr>
                  <w:i/>
                  <w:color w:val="auto"/>
                  <w:highlight w:val="none"/>
                </w:rPr>
                <m:t>X</m:t>
              </m:r>
              <m:ctrlPr>
                <w:rPr>
                  <w:rFonts w:ascii="Cambria Math" w:hAnsi="Cambria Math"/>
                  <w:i/>
                  <w:color w:val="auto"/>
                  <w:highlight w:val="none"/>
                </w:rPr>
              </m:ctrlPr>
            </m:e>
            <m:sub>
              <m:r>
                <m:rPr>
                  <m:nor/>
                </m:rPr>
                <w:rPr>
                  <w:i/>
                  <w:color w:val="auto"/>
                  <w:highlight w:val="none"/>
                </w:rPr>
                <m:t>r</m:t>
              </m:r>
              <m:ctrlPr>
                <w:rPr>
                  <w:rFonts w:ascii="Cambria Math" w:hAnsi="Cambria Math"/>
                  <w:i/>
                  <w:color w:val="auto"/>
                  <w:highlight w:val="none"/>
                </w:rPr>
              </m:ctrlPr>
            </m:sub>
          </m:sSub>
          <m:r>
            <m:rPr>
              <m:nor/>
              <m:sty m:val="p"/>
            </m:rPr>
            <w:rPr>
              <w:b w:val="0"/>
              <w:i w:val="0"/>
              <w:color w:val="auto"/>
              <w:highlight w:val="none"/>
            </w:rPr>
            <m:t>=</m:t>
          </m:r>
          <m:f>
            <m:fPr>
              <m:ctrlPr>
                <w:rPr>
                  <w:rFonts w:ascii="Cambria Math" w:hAnsi="Cambria Math"/>
                  <w:color w:val="auto"/>
                  <w:highlight w:val="none"/>
                </w:rPr>
              </m:ctrlPr>
            </m:fPr>
            <m:num>
              <m:nary>
                <m:naryPr>
                  <m:chr m:val="∑"/>
                  <m:limLoc m:val="subSup"/>
                  <m:ctrlPr>
                    <w:rPr>
                      <w:rFonts w:ascii="Cambria Math" w:hAnsi="Cambria Math"/>
                      <w:color w:val="auto"/>
                      <w:highlight w:val="none"/>
                    </w:rPr>
                  </m:ctrlPr>
                </m:naryPr>
                <m:sub>
                  <m:r>
                    <m:rPr>
                      <m:nor/>
                    </m:rPr>
                    <w:rPr>
                      <w:i/>
                      <w:color w:val="auto"/>
                      <w:highlight w:val="none"/>
                    </w:rPr>
                    <m:t>i=1</m:t>
                  </m:r>
                  <m:ctrlPr>
                    <w:rPr>
                      <w:rFonts w:ascii="Cambria Math" w:hAnsi="Cambria Math"/>
                      <w:color w:val="auto"/>
                      <w:highlight w:val="none"/>
                    </w:rPr>
                  </m:ctrlPr>
                </m:sub>
                <m:sup>
                  <m:r>
                    <m:rPr>
                      <m:nor/>
                    </m:rPr>
                    <w:rPr>
                      <w:i/>
                      <w:color w:val="auto"/>
                      <w:highlight w:val="none"/>
                    </w:rPr>
                    <m:t>n</m:t>
                  </m:r>
                  <m:ctrlPr>
                    <w:rPr>
                      <w:rFonts w:ascii="Cambria Math" w:hAnsi="Cambria Math"/>
                      <w:color w:val="auto"/>
                      <w:highlight w:val="none"/>
                    </w:rPr>
                  </m:ctrlPr>
                </m:sup>
                <m:e>
                  <m:sSub>
                    <m:sSubPr>
                      <m:ctrlPr>
                        <w:rPr>
                          <w:rFonts w:ascii="Cambria Math" w:hAnsi="Cambria Math"/>
                          <w:color w:val="auto"/>
                          <w:highlight w:val="none"/>
                        </w:rPr>
                      </m:ctrlPr>
                    </m:sSubPr>
                    <m:e>
                      <m:r>
                        <m:rPr>
                          <m:nor/>
                        </m:rPr>
                        <w:rPr>
                          <w:i/>
                          <w:color w:val="auto"/>
                          <w:highlight w:val="none"/>
                        </w:rPr>
                        <m:t>X</m:t>
                      </m:r>
                      <m:ctrlPr>
                        <w:rPr>
                          <w:rFonts w:ascii="Cambria Math" w:hAnsi="Cambria Math"/>
                          <w:color w:val="auto"/>
                          <w:highlight w:val="none"/>
                        </w:rPr>
                      </m:ctrlPr>
                    </m:e>
                    <m:sub>
                      <m:r>
                        <m:rPr>
                          <m:nor/>
                        </m:rPr>
                        <w:rPr>
                          <w:i/>
                          <w:color w:val="auto"/>
                          <w:highlight w:val="none"/>
                        </w:rPr>
                        <m:t>i</m:t>
                      </m:r>
                      <m:ctrlPr>
                        <w:rPr>
                          <w:rFonts w:ascii="Cambria Math" w:hAnsi="Cambria Math"/>
                          <w:color w:val="auto"/>
                          <w:highlight w:val="none"/>
                        </w:rPr>
                      </m:ctrlPr>
                    </m:sub>
                  </m:sSub>
                  <m:ctrlPr>
                    <w:rPr>
                      <w:rFonts w:ascii="Cambria Math" w:hAnsi="Cambria Math"/>
                      <w:color w:val="auto"/>
                      <w:highlight w:val="none"/>
                    </w:rPr>
                  </m:ctrlPr>
                </m:e>
              </m:nary>
              <m:ctrlPr>
                <w:rPr>
                  <w:rFonts w:ascii="Cambria Math" w:hAnsi="Cambria Math"/>
                  <w:color w:val="auto"/>
                  <w:highlight w:val="none"/>
                </w:rPr>
              </m:ctrlPr>
            </m:num>
            <m:den>
              <m:r>
                <m:rPr>
                  <m:nor/>
                </m:rPr>
                <w:rPr>
                  <w:i/>
                  <w:color w:val="auto"/>
                  <w:highlight w:val="none"/>
                </w:rPr>
                <m:t>n</m:t>
              </m:r>
              <m:ctrlPr>
                <w:rPr>
                  <w:rFonts w:ascii="Cambria Math" w:hAnsi="Cambria Math"/>
                  <w:color w:val="auto"/>
                  <w:highlight w:val="none"/>
                </w:rPr>
              </m:ctrlPr>
            </m:den>
          </m:f>
        </m:oMath>
      </m:oMathPara>
    </w:p>
    <w:p>
      <w:pPr>
        <w:jc w:val="center"/>
        <w:rPr>
          <w:color w:val="auto"/>
          <w:szCs w:val="21"/>
          <w:highlight w:val="none"/>
        </w:rPr>
      </w:pPr>
      <m:oMathPara>
        <m:oMathParaPr>
          <m:jc m:val="center"/>
        </m:oMathParaPr>
        <m:oMath>
          <m:sSub>
            <m:sSubPr>
              <m:ctrlPr>
                <w:rPr>
                  <w:rFonts w:ascii="Cambria Math" w:hAnsi="Cambria Math"/>
                  <w:color w:val="auto"/>
                  <w:highlight w:val="none"/>
                </w:rPr>
              </m:ctrlPr>
            </m:sSubPr>
            <m:e>
              <m:r>
                <m:rPr>
                  <m:nor/>
                </m:rPr>
                <w:rPr>
                  <w:i/>
                  <w:color w:val="auto"/>
                  <w:highlight w:val="none"/>
                </w:rPr>
                <m:t>Y</m:t>
              </m:r>
              <m:ctrlPr>
                <w:rPr>
                  <w:rFonts w:ascii="Cambria Math" w:hAnsi="Cambria Math"/>
                  <w:color w:val="auto"/>
                  <w:highlight w:val="none"/>
                </w:rPr>
              </m:ctrlPr>
            </m:e>
            <m:sub>
              <m:r>
                <m:rPr>
                  <m:nor/>
                </m:rPr>
                <w:rPr>
                  <w:i/>
                  <w:color w:val="auto"/>
                  <w:highlight w:val="none"/>
                </w:rPr>
                <m:t>r</m:t>
              </m:r>
              <m:ctrlPr>
                <w:rPr>
                  <w:rFonts w:ascii="Cambria Math" w:hAnsi="Cambria Math"/>
                  <w:color w:val="auto"/>
                  <w:highlight w:val="none"/>
                </w:rPr>
              </m:ctrlPr>
            </m:sub>
          </m:sSub>
          <m:r>
            <m:rPr>
              <m:nor/>
              <m:sty m:val="p"/>
            </m:rPr>
            <w:rPr>
              <w:b w:val="0"/>
              <w:i w:val="0"/>
              <w:color w:val="auto"/>
              <w:highlight w:val="none"/>
            </w:rPr>
            <m:t>=</m:t>
          </m:r>
          <m:f>
            <m:fPr>
              <m:ctrlPr>
                <w:rPr>
                  <w:rFonts w:ascii="Cambria Math" w:hAnsi="Cambria Math"/>
                  <w:color w:val="auto"/>
                  <w:highlight w:val="none"/>
                </w:rPr>
              </m:ctrlPr>
            </m:fPr>
            <m:num>
              <m:nary>
                <m:naryPr>
                  <m:chr m:val="∑"/>
                  <m:limLoc m:val="subSup"/>
                  <m:ctrlPr>
                    <w:rPr>
                      <w:rFonts w:ascii="Cambria Math" w:hAnsi="Cambria Math"/>
                      <w:color w:val="auto"/>
                      <w:highlight w:val="none"/>
                    </w:rPr>
                  </m:ctrlPr>
                </m:naryPr>
                <m:sub>
                  <m:r>
                    <m:rPr>
                      <m:nor/>
                    </m:rPr>
                    <w:rPr>
                      <w:i/>
                      <w:color w:val="auto"/>
                      <w:highlight w:val="none"/>
                    </w:rPr>
                    <m:t>i=1</m:t>
                  </m:r>
                  <m:ctrlPr>
                    <w:rPr>
                      <w:rFonts w:ascii="Cambria Math" w:hAnsi="Cambria Math"/>
                      <w:color w:val="auto"/>
                      <w:highlight w:val="none"/>
                    </w:rPr>
                  </m:ctrlPr>
                </m:sub>
                <m:sup>
                  <m:r>
                    <m:rPr>
                      <m:nor/>
                    </m:rPr>
                    <w:rPr>
                      <w:i/>
                      <w:color w:val="auto"/>
                      <w:highlight w:val="none"/>
                    </w:rPr>
                    <m:t>n</m:t>
                  </m:r>
                  <m:ctrlPr>
                    <w:rPr>
                      <w:rFonts w:ascii="Cambria Math" w:hAnsi="Cambria Math"/>
                      <w:color w:val="auto"/>
                      <w:highlight w:val="none"/>
                    </w:rPr>
                  </m:ctrlPr>
                </m:sup>
                <m:e>
                  <m:sSub>
                    <m:sSubPr>
                      <m:ctrlPr>
                        <w:rPr>
                          <w:rFonts w:ascii="Cambria Math" w:hAnsi="Cambria Math"/>
                          <w:i/>
                          <w:color w:val="auto"/>
                          <w:highlight w:val="none"/>
                        </w:rPr>
                      </m:ctrlPr>
                    </m:sSubPr>
                    <m:e>
                      <m:r>
                        <m:rPr>
                          <m:nor/>
                        </m:rPr>
                        <w:rPr>
                          <w:i/>
                          <w:color w:val="auto"/>
                          <w:highlight w:val="none"/>
                        </w:rPr>
                        <m:t>Y</m:t>
                      </m:r>
                      <m:ctrlPr>
                        <w:rPr>
                          <w:rFonts w:ascii="Cambria Math" w:hAnsi="Cambria Math"/>
                          <w:i/>
                          <w:color w:val="auto"/>
                          <w:highlight w:val="none"/>
                        </w:rPr>
                      </m:ctrlPr>
                    </m:e>
                    <m:sub>
                      <m:r>
                        <m:rPr>
                          <m:nor/>
                        </m:rPr>
                        <w:rPr>
                          <w:i/>
                          <w:color w:val="auto"/>
                          <w:highlight w:val="none"/>
                        </w:rPr>
                        <m:t>i</m:t>
                      </m:r>
                      <m:ctrlPr>
                        <w:rPr>
                          <w:rFonts w:ascii="Cambria Math" w:hAnsi="Cambria Math"/>
                          <w:i/>
                          <w:color w:val="auto"/>
                          <w:highlight w:val="none"/>
                        </w:rPr>
                      </m:ctrlPr>
                    </m:sub>
                  </m:sSub>
                  <m:ctrlPr>
                    <w:rPr>
                      <w:rFonts w:ascii="Cambria Math" w:hAnsi="Cambria Math"/>
                      <w:i/>
                      <w:color w:val="auto"/>
                      <w:highlight w:val="none"/>
                    </w:rPr>
                  </m:ctrlPr>
                </m:e>
              </m:nary>
              <m:ctrlPr>
                <w:rPr>
                  <w:rFonts w:ascii="Cambria Math" w:hAnsi="Cambria Math"/>
                  <w:color w:val="auto"/>
                  <w:highlight w:val="none"/>
                </w:rPr>
              </m:ctrlPr>
            </m:num>
            <m:den>
              <m:r>
                <m:rPr>
                  <m:nor/>
                </m:rPr>
                <w:rPr>
                  <w:i/>
                  <w:color w:val="auto"/>
                  <w:highlight w:val="none"/>
                </w:rPr>
                <m:t>n</m:t>
              </m:r>
              <m:ctrlPr>
                <w:rPr>
                  <w:rFonts w:ascii="Cambria Math" w:hAnsi="Cambria Math"/>
                  <w:color w:val="auto"/>
                  <w:highlight w:val="none"/>
                </w:rPr>
              </m:ctrlPr>
            </m:den>
          </m:f>
        </m:oMath>
      </m:oMathPara>
    </w:p>
    <w:p>
      <w:pPr>
        <w:jc w:val="center"/>
        <w:rPr>
          <w:color w:val="auto"/>
          <w:szCs w:val="21"/>
          <w:highlight w:val="none"/>
        </w:rPr>
      </w:pPr>
      <m:oMathPara>
        <m:oMathParaPr>
          <m:jc m:val="center"/>
        </m:oMathParaPr>
        <m:oMath>
          <m:sSub>
            <m:sSubPr>
              <m:ctrlPr>
                <w:rPr>
                  <w:rFonts w:ascii="Cambria Math" w:hAnsi="Cambria Math"/>
                  <w:color w:val="auto"/>
                  <w:highlight w:val="none"/>
                </w:rPr>
              </m:ctrlPr>
            </m:sSubPr>
            <m:e>
              <m:r>
                <m:rPr>
                  <m:nor/>
                </m:rPr>
                <w:rPr>
                  <w:i/>
                  <w:color w:val="auto"/>
                  <w:highlight w:val="none"/>
                </w:rPr>
                <m:t>e</m:t>
              </m:r>
              <m:ctrlPr>
                <w:rPr>
                  <w:rFonts w:ascii="Cambria Math" w:hAnsi="Cambria Math"/>
                  <w:color w:val="auto"/>
                  <w:highlight w:val="none"/>
                </w:rPr>
              </m:ctrlPr>
            </m:e>
            <m:sub>
              <m:r>
                <m:rPr>
                  <m:nor/>
                </m:rPr>
                <w:rPr>
                  <w:i/>
                  <w:color w:val="auto"/>
                  <w:highlight w:val="none"/>
                </w:rPr>
                <m:t>x</m:t>
              </m:r>
              <m:ctrlPr>
                <w:rPr>
                  <w:rFonts w:ascii="Cambria Math" w:hAnsi="Cambria Math"/>
                  <w:color w:val="auto"/>
                  <w:highlight w:val="none"/>
                </w:rPr>
              </m:ctrlPr>
            </m:sub>
          </m:sSub>
          <m:r>
            <m:rPr>
              <m:nor/>
              <m:sty m:val="p"/>
            </m:rPr>
            <w:rPr>
              <w:b w:val="0"/>
              <w:i w:val="0"/>
              <w:color w:val="auto"/>
              <w:highlight w:val="none"/>
            </w:rPr>
            <m:t>=</m:t>
          </m:r>
          <m:sSub>
            <m:sSubPr>
              <m:ctrlPr>
                <w:rPr>
                  <w:rFonts w:ascii="Cambria Math" w:hAnsi="Cambria Math"/>
                  <w:color w:val="auto"/>
                  <w:highlight w:val="none"/>
                </w:rPr>
              </m:ctrlPr>
            </m:sSubPr>
            <m:e>
              <m:r>
                <m:rPr>
                  <m:nor/>
                </m:rPr>
                <w:rPr>
                  <w:i/>
                  <w:color w:val="auto"/>
                  <w:highlight w:val="none"/>
                </w:rPr>
                <m:t>X</m:t>
              </m:r>
              <m:ctrlPr>
                <w:rPr>
                  <w:rFonts w:ascii="Cambria Math" w:hAnsi="Cambria Math"/>
                  <w:color w:val="auto"/>
                  <w:highlight w:val="none"/>
                </w:rPr>
              </m:ctrlPr>
            </m:e>
            <m:sub>
              <m:r>
                <m:rPr>
                  <m:nor/>
                </m:rPr>
                <w:rPr>
                  <w:i/>
                  <w:color w:val="auto"/>
                  <w:highlight w:val="none"/>
                </w:rPr>
                <m:t>0</m:t>
              </m:r>
              <m:ctrlPr>
                <w:rPr>
                  <w:rFonts w:ascii="Cambria Math" w:hAnsi="Cambria Math"/>
                  <w:color w:val="auto"/>
                  <w:highlight w:val="none"/>
                </w:rPr>
              </m:ctrlPr>
            </m:sub>
          </m:sSub>
          <m:r>
            <m:rPr>
              <m:nor/>
              <m:sty m:val="p"/>
            </m:rPr>
            <w:rPr>
              <w:b w:val="0"/>
              <w:i w:val="0"/>
              <w:color w:val="auto"/>
              <w:highlight w:val="none"/>
            </w:rPr>
            <m:t>-</m:t>
          </m:r>
          <m:sSub>
            <m:sSubPr>
              <m:ctrlPr>
                <w:rPr>
                  <w:rFonts w:ascii="Cambria Math" w:hAnsi="Cambria Math"/>
                  <w:color w:val="auto"/>
                  <w:highlight w:val="none"/>
                </w:rPr>
              </m:ctrlPr>
            </m:sSubPr>
            <m:e>
              <m:r>
                <m:rPr>
                  <m:nor/>
                </m:rPr>
                <w:rPr>
                  <w:i/>
                  <w:color w:val="auto"/>
                  <w:highlight w:val="none"/>
                </w:rPr>
                <m:t>X</m:t>
              </m:r>
              <m:ctrlPr>
                <w:rPr>
                  <w:rFonts w:ascii="Cambria Math" w:hAnsi="Cambria Math"/>
                  <w:color w:val="auto"/>
                  <w:highlight w:val="none"/>
                </w:rPr>
              </m:ctrlPr>
            </m:e>
            <m:sub>
              <m:r>
                <m:rPr>
                  <m:nor/>
                </m:rPr>
                <w:rPr>
                  <w:i/>
                  <w:color w:val="auto"/>
                  <w:highlight w:val="none"/>
                </w:rPr>
                <m:t>r</m:t>
              </m:r>
              <m:ctrlPr>
                <w:rPr>
                  <w:rFonts w:ascii="Cambria Math" w:hAnsi="Cambria Math"/>
                  <w:color w:val="auto"/>
                  <w:highlight w:val="none"/>
                </w:rPr>
              </m:ctrlPr>
            </m:sub>
          </m:sSub>
        </m:oMath>
      </m:oMathPara>
    </w:p>
    <w:p>
      <w:pPr>
        <w:jc w:val="center"/>
        <w:rPr>
          <w:i/>
          <w:color w:val="auto"/>
          <w:szCs w:val="21"/>
          <w:highlight w:val="none"/>
        </w:rPr>
      </w:pPr>
      <m:oMathPara>
        <m:oMathParaPr>
          <m:jc m:val="center"/>
        </m:oMathParaPr>
        <m:oMath>
          <m:sSub>
            <m:sSubPr>
              <m:ctrlPr>
                <w:rPr>
                  <w:rFonts w:ascii="Cambria Math" w:hAnsi="Cambria Math"/>
                  <w:color w:val="auto"/>
                  <w:highlight w:val="none"/>
                </w:rPr>
              </m:ctrlPr>
            </m:sSubPr>
            <m:e>
              <m:r>
                <m:rPr>
                  <m:nor/>
                </m:rPr>
                <w:rPr>
                  <w:i/>
                  <w:color w:val="auto"/>
                  <w:highlight w:val="none"/>
                </w:rPr>
                <m:t>e</m:t>
              </m:r>
              <m:ctrlPr>
                <w:rPr>
                  <w:rFonts w:ascii="Cambria Math" w:hAnsi="Cambria Math"/>
                  <w:color w:val="auto"/>
                  <w:highlight w:val="none"/>
                </w:rPr>
              </m:ctrlPr>
            </m:e>
            <m:sub>
              <m:r>
                <m:rPr>
                  <m:nor/>
                </m:rPr>
                <w:rPr>
                  <w:i/>
                  <w:color w:val="auto"/>
                  <w:highlight w:val="none"/>
                </w:rPr>
                <m:t>y</m:t>
              </m:r>
              <m:ctrlPr>
                <w:rPr>
                  <w:rFonts w:ascii="Cambria Math" w:hAnsi="Cambria Math"/>
                  <w:color w:val="auto"/>
                  <w:highlight w:val="none"/>
                </w:rPr>
              </m:ctrlPr>
            </m:sub>
          </m:sSub>
          <m:r>
            <m:rPr>
              <m:nor/>
              <m:sty m:val="p"/>
            </m:rPr>
            <w:rPr>
              <w:b w:val="0"/>
              <w:i w:val="0"/>
              <w:color w:val="auto"/>
              <w:highlight w:val="none"/>
            </w:rPr>
            <m:t>=</m:t>
          </m:r>
          <m:sSub>
            <m:sSubPr>
              <m:ctrlPr>
                <w:rPr>
                  <w:rFonts w:ascii="Cambria Math" w:hAnsi="Cambria Math"/>
                  <w:color w:val="auto"/>
                  <w:highlight w:val="none"/>
                </w:rPr>
              </m:ctrlPr>
            </m:sSubPr>
            <m:e>
              <m:r>
                <m:rPr>
                  <m:nor/>
                </m:rPr>
                <w:rPr>
                  <w:rFonts w:ascii="Cambria Math"/>
                  <w:i/>
                  <w:color w:val="auto"/>
                  <w:highlight w:val="none"/>
                </w:rPr>
                <m:t>Y</m:t>
              </m:r>
              <m:ctrlPr>
                <w:rPr>
                  <w:rFonts w:ascii="Cambria Math" w:hAnsi="Cambria Math"/>
                  <w:color w:val="auto"/>
                  <w:highlight w:val="none"/>
                </w:rPr>
              </m:ctrlPr>
            </m:e>
            <m:sub>
              <m:r>
                <m:rPr>
                  <m:nor/>
                </m:rPr>
                <w:rPr>
                  <w:rFonts w:ascii="Cambria Math"/>
                  <w:i/>
                  <w:color w:val="auto"/>
                  <w:highlight w:val="none"/>
                </w:rPr>
                <m:t>0</m:t>
              </m:r>
              <m:ctrlPr>
                <w:rPr>
                  <w:rFonts w:ascii="Cambria Math" w:hAnsi="Cambria Math"/>
                  <w:color w:val="auto"/>
                  <w:highlight w:val="none"/>
                </w:rPr>
              </m:ctrlPr>
            </m:sub>
          </m:sSub>
          <m:r>
            <m:rPr>
              <m:nor/>
              <m:sty m:val="p"/>
            </m:rPr>
            <w:rPr>
              <w:b w:val="0"/>
              <w:i w:val="0"/>
              <w:color w:val="auto"/>
              <w:highlight w:val="none"/>
            </w:rPr>
            <m:t>-</m:t>
          </m:r>
          <m:sSub>
            <m:sSubPr>
              <m:ctrlPr>
                <w:rPr>
                  <w:rFonts w:ascii="Cambria Math" w:hAnsi="Cambria Math"/>
                  <w:color w:val="auto"/>
                  <w:highlight w:val="none"/>
                </w:rPr>
              </m:ctrlPr>
            </m:sSubPr>
            <m:e>
              <m:r>
                <m:rPr>
                  <m:nor/>
                </m:rPr>
                <w:rPr>
                  <w:i/>
                  <w:color w:val="auto"/>
                  <w:highlight w:val="none"/>
                </w:rPr>
                <m:t>Y</m:t>
              </m:r>
              <m:ctrlPr>
                <w:rPr>
                  <w:rFonts w:ascii="Cambria Math" w:hAnsi="Cambria Math"/>
                  <w:color w:val="auto"/>
                  <w:highlight w:val="none"/>
                </w:rPr>
              </m:ctrlPr>
            </m:e>
            <m:sub>
              <m:r>
                <m:rPr>
                  <m:nor/>
                </m:rPr>
                <w:rPr>
                  <w:i/>
                  <w:color w:val="auto"/>
                  <w:highlight w:val="none"/>
                </w:rPr>
                <m:t>r</m:t>
              </m:r>
              <m:ctrlPr>
                <w:rPr>
                  <w:rFonts w:ascii="Cambria Math" w:hAnsi="Cambria Math"/>
                  <w:color w:val="auto"/>
                  <w:highlight w:val="none"/>
                </w:rPr>
              </m:ctrlPr>
            </m:sub>
          </m:sSub>
        </m:oMath>
      </m:oMathPara>
    </w:p>
    <w:p>
      <w:pPr>
        <w:jc w:val="center"/>
        <w:rPr>
          <w:i/>
          <w:color w:val="auto"/>
          <w:szCs w:val="21"/>
          <w:highlight w:val="none"/>
        </w:rPr>
      </w:pPr>
      <m:oMathPara>
        <m:oMathParaPr>
          <m:jc m:val="center"/>
        </m:oMathParaPr>
        <m:oMath>
          <m:sSub>
            <m:sSubPr>
              <m:ctrlPr>
                <w:rPr>
                  <w:rFonts w:ascii="Cambria Math" w:hAnsi="Cambria Math"/>
                  <w:color w:val="auto"/>
                  <w:highlight w:val="none"/>
                </w:rPr>
              </m:ctrlPr>
            </m:sSubPr>
            <m:e>
              <m:r>
                <m:rPr>
                  <m:nor/>
                </m:rPr>
                <w:rPr>
                  <w:i/>
                  <w:color w:val="auto"/>
                  <w:highlight w:val="none"/>
                </w:rPr>
                <m:t>S</m:t>
              </m:r>
              <m:ctrlPr>
                <w:rPr>
                  <w:rFonts w:ascii="Cambria Math" w:hAnsi="Cambria Math"/>
                  <w:color w:val="auto"/>
                  <w:highlight w:val="none"/>
                </w:rPr>
              </m:ctrlPr>
            </m:e>
            <m:sub>
              <m:r>
                <m:rPr>
                  <m:nor/>
                </m:rPr>
                <w:rPr>
                  <w:i/>
                  <w:color w:val="auto"/>
                  <w:highlight w:val="none"/>
                </w:rPr>
                <m:t>x</m:t>
              </m:r>
              <m:ctrlPr>
                <w:rPr>
                  <w:rFonts w:ascii="Cambria Math" w:hAnsi="Cambria Math"/>
                  <w:color w:val="auto"/>
                  <w:highlight w:val="none"/>
                </w:rPr>
              </m:ctrlPr>
            </m:sub>
          </m:sSub>
          <m:r>
            <m:rPr>
              <m:nor/>
              <m:sty m:val="p"/>
            </m:rPr>
            <w:rPr>
              <w:b w:val="0"/>
              <w:i w:val="0"/>
              <w:color w:val="auto"/>
              <w:highlight w:val="none"/>
            </w:rPr>
            <m:t>=</m:t>
          </m:r>
          <m:nary>
            <m:naryPr>
              <m:chr m:val="∑"/>
              <m:limLoc m:val="undOvr"/>
              <m:ctrlPr>
                <w:rPr>
                  <w:rFonts w:ascii="Cambria Math" w:hAnsi="Cambria Math"/>
                  <w:color w:val="auto"/>
                  <w:highlight w:val="none"/>
                </w:rPr>
              </m:ctrlPr>
            </m:naryPr>
            <m:sub>
              <m:r>
                <m:rPr>
                  <m:nor/>
                </m:rPr>
                <w:rPr>
                  <w:i/>
                  <w:color w:val="auto"/>
                  <w:highlight w:val="none"/>
                </w:rPr>
                <m:t>i=1</m:t>
              </m:r>
              <m:ctrlPr>
                <w:rPr>
                  <w:rFonts w:ascii="Cambria Math" w:hAnsi="Cambria Math"/>
                  <w:color w:val="auto"/>
                  <w:highlight w:val="none"/>
                </w:rPr>
              </m:ctrlPr>
            </m:sub>
            <m:sup>
              <m:r>
                <m:rPr>
                  <m:nor/>
                </m:rPr>
                <w:rPr>
                  <w:i/>
                  <w:color w:val="auto"/>
                  <w:highlight w:val="none"/>
                </w:rPr>
                <m:t>n</m:t>
              </m:r>
              <m:ctrlPr>
                <w:rPr>
                  <w:rFonts w:ascii="Cambria Math" w:hAnsi="Cambria Math"/>
                  <w:color w:val="auto"/>
                  <w:highlight w:val="none"/>
                </w:rPr>
              </m:ctrlPr>
            </m:sup>
            <m:e>
              <m:sSup>
                <m:sSupPr>
                  <m:ctrlPr>
                    <w:rPr>
                      <w:rFonts w:ascii="Cambria Math" w:hAnsi="Cambria Math"/>
                      <w:color w:val="auto"/>
                      <w:highlight w:val="none"/>
                    </w:rPr>
                  </m:ctrlPr>
                </m:sSupPr>
                <m:e>
                  <m:r>
                    <m:rPr>
                      <m:nor/>
                      <m:sty m:val="p"/>
                    </m:rPr>
                    <w:rPr>
                      <w:b w:val="0"/>
                      <w:i w:val="0"/>
                      <w:color w:val="auto"/>
                      <w:highlight w:val="none"/>
                    </w:rPr>
                    <m:t>(</m:t>
                  </m:r>
                  <m:sSub>
                    <m:sSubPr>
                      <m:ctrlPr>
                        <w:rPr>
                          <w:rFonts w:ascii="Cambria Math" w:hAnsi="Cambria Math"/>
                          <w:i/>
                          <w:color w:val="auto"/>
                          <w:highlight w:val="none"/>
                        </w:rPr>
                      </m:ctrlPr>
                    </m:sSubPr>
                    <m:e>
                      <m:r>
                        <m:rPr>
                          <m:nor/>
                        </m:rPr>
                        <w:rPr>
                          <w:i/>
                          <w:color w:val="auto"/>
                          <w:highlight w:val="none"/>
                        </w:rPr>
                        <m:t>X</m:t>
                      </m:r>
                      <m:ctrlPr>
                        <w:rPr>
                          <w:rFonts w:ascii="Cambria Math" w:hAnsi="Cambria Math"/>
                          <w:i/>
                          <w:color w:val="auto"/>
                          <w:highlight w:val="none"/>
                        </w:rPr>
                      </m:ctrlPr>
                    </m:e>
                    <m:sub>
                      <m:r>
                        <m:rPr>
                          <m:nor/>
                        </m:rPr>
                        <w:rPr>
                          <w:i/>
                          <w:color w:val="auto"/>
                          <w:highlight w:val="none"/>
                        </w:rPr>
                        <m:t>i</m:t>
                      </m:r>
                      <m:ctrlPr>
                        <w:rPr>
                          <w:rFonts w:ascii="Cambria Math" w:hAnsi="Cambria Math"/>
                          <w:i/>
                          <w:color w:val="auto"/>
                          <w:highlight w:val="none"/>
                        </w:rPr>
                      </m:ctrlPr>
                    </m:sub>
                  </m:sSub>
                  <m:r>
                    <m:rPr>
                      <m:nor/>
                      <m:sty m:val="p"/>
                    </m:rPr>
                    <w:rPr>
                      <w:b w:val="0"/>
                      <w:i w:val="0"/>
                      <w:color w:val="auto"/>
                      <w:highlight w:val="none"/>
                    </w:rPr>
                    <m:t>-</m:t>
                  </m:r>
                  <m:sSub>
                    <m:sSubPr>
                      <m:ctrlPr>
                        <w:rPr>
                          <w:rFonts w:ascii="Cambria Math" w:hAnsi="Cambria Math"/>
                          <w:i/>
                          <w:color w:val="auto"/>
                          <w:highlight w:val="none"/>
                        </w:rPr>
                      </m:ctrlPr>
                    </m:sSubPr>
                    <m:e>
                      <m:r>
                        <m:rPr>
                          <m:nor/>
                        </m:rPr>
                        <w:rPr>
                          <w:i/>
                          <w:color w:val="auto"/>
                          <w:highlight w:val="none"/>
                        </w:rPr>
                        <m:t>X</m:t>
                      </m:r>
                      <m:ctrlPr>
                        <w:rPr>
                          <w:rFonts w:ascii="Cambria Math" w:hAnsi="Cambria Math"/>
                          <w:i/>
                          <w:color w:val="auto"/>
                          <w:highlight w:val="none"/>
                        </w:rPr>
                      </m:ctrlPr>
                    </m:e>
                    <m:sub>
                      <m:r>
                        <m:rPr>
                          <m:nor/>
                        </m:rPr>
                        <w:rPr>
                          <w:i/>
                          <w:color w:val="auto"/>
                          <w:highlight w:val="none"/>
                        </w:rPr>
                        <m:t>r</m:t>
                      </m:r>
                      <m:ctrlPr>
                        <w:rPr>
                          <w:rFonts w:ascii="Cambria Math" w:hAnsi="Cambria Math"/>
                          <w:i/>
                          <w:color w:val="auto"/>
                          <w:highlight w:val="none"/>
                        </w:rPr>
                      </m:ctrlPr>
                    </m:sub>
                  </m:sSub>
                  <m:r>
                    <m:rPr>
                      <m:nor/>
                      <m:sty m:val="p"/>
                    </m:rPr>
                    <w:rPr>
                      <w:b w:val="0"/>
                      <w:i w:val="0"/>
                      <w:color w:val="auto"/>
                      <w:highlight w:val="none"/>
                    </w:rPr>
                    <m:t>)</m:t>
                  </m:r>
                  <m:ctrlPr>
                    <w:rPr>
                      <w:rFonts w:ascii="Cambria Math" w:hAnsi="Cambria Math"/>
                      <w:i/>
                      <w:color w:val="auto"/>
                      <w:highlight w:val="none"/>
                    </w:rPr>
                  </m:ctrlPr>
                </m:e>
                <m:sup>
                  <m:r>
                    <m:rPr>
                      <m:nor/>
                      <m:sty m:val="p"/>
                    </m:rPr>
                    <w:rPr>
                      <w:b w:val="0"/>
                      <w:i w:val="0"/>
                      <w:color w:val="auto"/>
                      <w:highlight w:val="none"/>
                    </w:rPr>
                    <m:t>2</m:t>
                  </m:r>
                  <m:ctrlPr>
                    <w:rPr>
                      <w:rFonts w:ascii="Cambria Math" w:hAnsi="Cambria Math"/>
                      <w:i/>
                      <w:color w:val="auto"/>
                      <w:highlight w:val="none"/>
                    </w:rPr>
                  </m:ctrlPr>
                </m:sup>
              </m:sSup>
              <m:ctrlPr>
                <w:rPr>
                  <w:rFonts w:ascii="Cambria Math" w:hAnsi="Cambria Math"/>
                  <w:color w:val="auto"/>
                  <w:highlight w:val="none"/>
                </w:rPr>
              </m:ctrlPr>
            </m:e>
          </m:nary>
        </m:oMath>
      </m:oMathPara>
    </w:p>
    <w:p>
      <w:pPr>
        <w:jc w:val="center"/>
        <w:rPr>
          <w:color w:val="auto"/>
          <w:szCs w:val="21"/>
          <w:highlight w:val="none"/>
        </w:rPr>
      </w:pPr>
      <m:oMathPara>
        <m:oMathParaPr>
          <m:jc m:val="center"/>
        </m:oMathParaPr>
        <m:oMath>
          <m:sSub>
            <m:sSubPr>
              <m:ctrlPr>
                <w:rPr>
                  <w:rFonts w:ascii="Cambria Math" w:hAnsi="Cambria Math"/>
                  <w:color w:val="auto"/>
                  <w:highlight w:val="none"/>
                </w:rPr>
              </m:ctrlPr>
            </m:sSubPr>
            <m:e>
              <m:r>
                <m:rPr>
                  <m:nor/>
                </m:rPr>
                <w:rPr>
                  <w:i/>
                  <w:color w:val="auto"/>
                  <w:highlight w:val="none"/>
                </w:rPr>
                <m:t>S</m:t>
              </m:r>
              <m:ctrlPr>
                <w:rPr>
                  <w:rFonts w:ascii="Cambria Math" w:hAnsi="Cambria Math"/>
                  <w:color w:val="auto"/>
                  <w:highlight w:val="none"/>
                </w:rPr>
              </m:ctrlPr>
            </m:e>
            <m:sub>
              <m:r>
                <m:rPr>
                  <m:nor/>
                </m:rPr>
                <w:rPr>
                  <w:i/>
                  <w:color w:val="auto"/>
                  <w:highlight w:val="none"/>
                </w:rPr>
                <m:t>y</m:t>
              </m:r>
              <m:ctrlPr>
                <w:rPr>
                  <w:rFonts w:ascii="Cambria Math" w:hAnsi="Cambria Math"/>
                  <w:color w:val="auto"/>
                  <w:highlight w:val="none"/>
                </w:rPr>
              </m:ctrlPr>
            </m:sub>
          </m:sSub>
          <m:r>
            <m:rPr>
              <m:nor/>
              <m:sty m:val="p"/>
            </m:rPr>
            <w:rPr>
              <w:b w:val="0"/>
              <w:i w:val="0"/>
              <w:color w:val="auto"/>
              <w:highlight w:val="none"/>
            </w:rPr>
            <m:t>=</m:t>
          </m:r>
          <m:nary>
            <m:naryPr>
              <m:chr m:val="∑"/>
              <m:limLoc m:val="undOvr"/>
              <m:ctrlPr>
                <w:rPr>
                  <w:rFonts w:ascii="Cambria Math" w:hAnsi="Cambria Math"/>
                  <w:color w:val="auto"/>
                  <w:highlight w:val="none"/>
                </w:rPr>
              </m:ctrlPr>
            </m:naryPr>
            <m:sub>
              <m:r>
                <m:rPr>
                  <m:nor/>
                </m:rPr>
                <w:rPr>
                  <w:i/>
                  <w:color w:val="auto"/>
                  <w:highlight w:val="none"/>
                </w:rPr>
                <m:t>i=1</m:t>
              </m:r>
              <m:ctrlPr>
                <w:rPr>
                  <w:rFonts w:ascii="Cambria Math" w:hAnsi="Cambria Math"/>
                  <w:color w:val="auto"/>
                  <w:highlight w:val="none"/>
                </w:rPr>
              </m:ctrlPr>
            </m:sub>
            <m:sup>
              <m:r>
                <m:rPr>
                  <m:nor/>
                </m:rPr>
                <w:rPr>
                  <w:i/>
                  <w:color w:val="auto"/>
                  <w:highlight w:val="none"/>
                </w:rPr>
                <m:t>n</m:t>
              </m:r>
              <m:ctrlPr>
                <w:rPr>
                  <w:rFonts w:ascii="Cambria Math" w:hAnsi="Cambria Math"/>
                  <w:color w:val="auto"/>
                  <w:highlight w:val="none"/>
                </w:rPr>
              </m:ctrlPr>
            </m:sup>
            <m:e>
              <m:sSup>
                <m:sSupPr>
                  <m:ctrlPr>
                    <w:rPr>
                      <w:rFonts w:ascii="Cambria Math" w:hAnsi="Cambria Math"/>
                      <w:i/>
                      <w:color w:val="auto"/>
                      <w:highlight w:val="none"/>
                    </w:rPr>
                  </m:ctrlPr>
                </m:sSupPr>
                <m:e>
                  <m:r>
                    <m:rPr>
                      <m:nor/>
                      <m:sty m:val="p"/>
                    </m:rPr>
                    <w:rPr>
                      <w:b w:val="0"/>
                      <w:i w:val="0"/>
                      <w:color w:val="auto"/>
                      <w:highlight w:val="none"/>
                    </w:rPr>
                    <m:t>(</m:t>
                  </m:r>
                  <m:sSub>
                    <m:sSubPr>
                      <m:ctrlPr>
                        <w:rPr>
                          <w:rFonts w:ascii="Cambria Math" w:hAnsi="Cambria Math"/>
                          <w:i/>
                          <w:color w:val="auto"/>
                          <w:highlight w:val="none"/>
                        </w:rPr>
                      </m:ctrlPr>
                    </m:sSubPr>
                    <m:e>
                      <m:r>
                        <m:rPr>
                          <m:nor/>
                        </m:rPr>
                        <w:rPr>
                          <w:i/>
                          <w:color w:val="auto"/>
                          <w:highlight w:val="none"/>
                        </w:rPr>
                        <m:t>Y</m:t>
                      </m:r>
                      <m:ctrlPr>
                        <w:rPr>
                          <w:rFonts w:ascii="Cambria Math" w:hAnsi="Cambria Math"/>
                          <w:i/>
                          <w:color w:val="auto"/>
                          <w:highlight w:val="none"/>
                        </w:rPr>
                      </m:ctrlPr>
                    </m:e>
                    <m:sub>
                      <m:r>
                        <m:rPr>
                          <m:nor/>
                        </m:rPr>
                        <w:rPr>
                          <w:i/>
                          <w:color w:val="auto"/>
                          <w:highlight w:val="none"/>
                        </w:rPr>
                        <m:t>i</m:t>
                      </m:r>
                      <m:ctrlPr>
                        <w:rPr>
                          <w:rFonts w:ascii="Cambria Math" w:hAnsi="Cambria Math"/>
                          <w:i/>
                          <w:color w:val="auto"/>
                          <w:highlight w:val="none"/>
                        </w:rPr>
                      </m:ctrlPr>
                    </m:sub>
                  </m:sSub>
                  <m:r>
                    <m:rPr>
                      <m:nor/>
                      <m:sty m:val="p"/>
                    </m:rPr>
                    <w:rPr>
                      <w:b w:val="0"/>
                      <w:i w:val="0"/>
                      <w:color w:val="auto"/>
                      <w:highlight w:val="none"/>
                    </w:rPr>
                    <m:t>-</m:t>
                  </m:r>
                  <m:sSub>
                    <m:sSubPr>
                      <m:ctrlPr>
                        <w:rPr>
                          <w:rFonts w:ascii="Cambria Math" w:hAnsi="Cambria Math"/>
                          <w:i/>
                          <w:color w:val="auto"/>
                          <w:highlight w:val="none"/>
                        </w:rPr>
                      </m:ctrlPr>
                    </m:sSubPr>
                    <m:e>
                      <m:r>
                        <m:rPr>
                          <m:nor/>
                        </m:rPr>
                        <w:rPr>
                          <w:i/>
                          <w:color w:val="auto"/>
                          <w:highlight w:val="none"/>
                        </w:rPr>
                        <m:t>Y</m:t>
                      </m:r>
                      <m:ctrlPr>
                        <w:rPr>
                          <w:rFonts w:ascii="Cambria Math" w:hAnsi="Cambria Math"/>
                          <w:i/>
                          <w:color w:val="auto"/>
                          <w:highlight w:val="none"/>
                        </w:rPr>
                      </m:ctrlPr>
                    </m:e>
                    <m:sub>
                      <m:r>
                        <m:rPr>
                          <m:nor/>
                        </m:rPr>
                        <w:rPr>
                          <w:i/>
                          <w:color w:val="auto"/>
                          <w:highlight w:val="none"/>
                        </w:rPr>
                        <m:t>r</m:t>
                      </m:r>
                      <m:ctrlPr>
                        <w:rPr>
                          <w:rFonts w:ascii="Cambria Math" w:hAnsi="Cambria Math"/>
                          <w:i/>
                          <w:color w:val="auto"/>
                          <w:highlight w:val="none"/>
                        </w:rPr>
                      </m:ctrlPr>
                    </m:sub>
                  </m:sSub>
                  <m:r>
                    <m:rPr>
                      <m:nor/>
                      <m:sty m:val="p"/>
                    </m:rPr>
                    <w:rPr>
                      <w:b w:val="0"/>
                      <w:i w:val="0"/>
                      <w:color w:val="auto"/>
                      <w:highlight w:val="none"/>
                    </w:rPr>
                    <m:t>)</m:t>
                  </m:r>
                  <m:ctrlPr>
                    <w:rPr>
                      <w:rFonts w:ascii="Cambria Math" w:hAnsi="Cambria Math"/>
                      <w:i/>
                      <w:color w:val="auto"/>
                      <w:highlight w:val="none"/>
                    </w:rPr>
                  </m:ctrlPr>
                </m:e>
                <m:sup>
                  <m:r>
                    <m:rPr>
                      <m:nor/>
                      <m:sty m:val="p"/>
                    </m:rPr>
                    <w:rPr>
                      <w:b w:val="0"/>
                      <w:i w:val="0"/>
                      <w:color w:val="auto"/>
                      <w:highlight w:val="none"/>
                    </w:rPr>
                    <m:t>2</m:t>
                  </m:r>
                  <m:ctrlPr>
                    <w:rPr>
                      <w:rFonts w:ascii="Cambria Math" w:hAnsi="Cambria Math"/>
                      <w:i/>
                      <w:color w:val="auto"/>
                      <w:highlight w:val="none"/>
                    </w:rPr>
                  </m:ctrlPr>
                </m:sup>
              </m:sSup>
              <m:ctrlPr>
                <w:rPr>
                  <w:rFonts w:ascii="Cambria Math" w:hAnsi="Cambria Math"/>
                  <w:i/>
                  <w:color w:val="auto"/>
                  <w:highlight w:val="none"/>
                </w:rPr>
              </m:ctrlPr>
            </m:e>
          </m:nary>
        </m:oMath>
      </m:oMathPara>
    </w:p>
    <w:p>
      <w:pPr>
        <w:rPr>
          <w:color w:val="auto"/>
          <w:highlight w:val="none"/>
        </w:rPr>
      </w:pPr>
      <m:oMathPara>
        <m:oMathParaPr>
          <m:jc m:val="center"/>
        </m:oMathParaPr>
        <m:oMath>
          <m:sSub>
            <m:sSubPr>
              <m:ctrlPr>
                <w:rPr>
                  <w:rFonts w:ascii="Cambria Math" w:hAnsi="Cambria Math"/>
                  <w:color w:val="auto"/>
                  <w:highlight w:val="none"/>
                </w:rPr>
              </m:ctrlPr>
            </m:sSubPr>
            <m:e>
              <m:r>
                <m:rPr>
                  <m:nor/>
                </m:rPr>
                <w:rPr>
                  <w:i/>
                  <w:color w:val="auto"/>
                  <w:highlight w:val="none"/>
                </w:rPr>
                <m:t>F</m:t>
              </m:r>
              <m:ctrlPr>
                <w:rPr>
                  <w:rFonts w:ascii="Cambria Math" w:hAnsi="Cambria Math"/>
                  <w:color w:val="auto"/>
                  <w:highlight w:val="none"/>
                </w:rPr>
              </m:ctrlPr>
            </m:e>
            <m:sub>
              <m:r>
                <m:rPr>
                  <m:nor/>
                </m:rPr>
                <w:rPr>
                  <w:i/>
                  <w:color w:val="auto"/>
                  <w:highlight w:val="none"/>
                </w:rPr>
                <m:t>Ai</m:t>
              </m:r>
              <m:ctrlPr>
                <w:rPr>
                  <w:rFonts w:ascii="Cambria Math" w:hAnsi="Cambria Math"/>
                  <w:color w:val="auto"/>
                  <w:highlight w:val="none"/>
                </w:rPr>
              </m:ctrlPr>
            </m:sub>
          </m:sSub>
          <m:r>
            <m:rPr>
              <m:nor/>
              <m:sty m:val="p"/>
            </m:rPr>
            <w:rPr>
              <w:b w:val="0"/>
              <w:i w:val="0"/>
              <w:color w:val="auto"/>
              <w:highlight w:val="none"/>
            </w:rPr>
            <m:t>=</m:t>
          </m:r>
          <m:f>
            <m:fPr>
              <m:ctrlPr>
                <w:rPr>
                  <w:rFonts w:ascii="Cambria Math" w:hAnsi="Cambria Math"/>
                  <w:color w:val="auto"/>
                  <w:highlight w:val="none"/>
                </w:rPr>
              </m:ctrlPr>
            </m:fPr>
            <m:num>
              <m:r>
                <m:rPr>
                  <m:nor/>
                </m:rPr>
                <w:rPr>
                  <w:i/>
                  <w:color w:val="auto"/>
                  <w:highlight w:val="none"/>
                </w:rPr>
                <m:t>G</m:t>
              </m:r>
              <m:ctrlPr>
                <w:rPr>
                  <w:rFonts w:ascii="Cambria Math" w:hAnsi="Cambria Math"/>
                  <w:color w:val="auto"/>
                  <w:highlight w:val="none"/>
                </w:rPr>
              </m:ctrlPr>
            </m:num>
            <m:den>
              <m:r>
                <m:rPr>
                  <m:nor/>
                </m:rPr>
                <w:rPr>
                  <w:i/>
                  <w:color w:val="auto"/>
                  <w:highlight w:val="none"/>
                </w:rPr>
                <m:t>n</m:t>
              </m:r>
              <m:ctrlPr>
                <w:rPr>
                  <w:rFonts w:ascii="Cambria Math" w:hAnsi="Cambria Math"/>
                  <w:color w:val="auto"/>
                  <w:highlight w:val="none"/>
                </w:rPr>
              </m:ctrlPr>
            </m:den>
          </m:f>
          <m:r>
            <m:rPr>
              <m:nor/>
              <m:sty m:val="p"/>
            </m:rPr>
            <w:rPr>
              <w:b w:val="0"/>
              <w:i w:val="0"/>
              <w:color w:val="auto"/>
              <w:highlight w:val="none"/>
            </w:rPr>
            <m:t>+</m:t>
          </m:r>
          <m:f>
            <m:fPr>
              <m:ctrlPr>
                <w:rPr>
                  <w:rFonts w:ascii="Cambria Math" w:hAnsi="Cambria Math"/>
                  <w:color w:val="auto"/>
                  <w:highlight w:val="none"/>
                </w:rPr>
              </m:ctrlPr>
            </m:fPr>
            <m:num>
              <m:r>
                <m:rPr>
                  <m:nor/>
                </m:rPr>
                <w:rPr>
                  <w:i/>
                  <w:color w:val="auto"/>
                  <w:highlight w:val="none"/>
                </w:rPr>
                <m:t>G</m:t>
              </m:r>
              <m:sSub>
                <m:sSubPr>
                  <m:ctrlPr>
                    <w:rPr>
                      <w:rFonts w:ascii="Cambria Math" w:hAnsi="Cambria Math"/>
                      <w:i/>
                      <w:color w:val="auto"/>
                      <w:highlight w:val="none"/>
                    </w:rPr>
                  </m:ctrlPr>
                </m:sSubPr>
                <m:e>
                  <m:r>
                    <m:rPr>
                      <m:nor/>
                    </m:rPr>
                    <w:rPr>
                      <w:i/>
                      <w:color w:val="auto"/>
                      <w:highlight w:val="none"/>
                    </w:rPr>
                    <m:t>e</m:t>
                  </m:r>
                  <m:ctrlPr>
                    <w:rPr>
                      <w:rFonts w:ascii="Cambria Math" w:hAnsi="Cambria Math"/>
                      <w:i/>
                      <w:color w:val="auto"/>
                      <w:highlight w:val="none"/>
                    </w:rPr>
                  </m:ctrlPr>
                </m:e>
                <m:sub>
                  <m:r>
                    <m:rPr>
                      <m:nor/>
                    </m:rPr>
                    <w:rPr>
                      <w:i/>
                      <w:color w:val="auto"/>
                      <w:highlight w:val="none"/>
                    </w:rPr>
                    <m:t>x</m:t>
                  </m:r>
                  <m:ctrlPr>
                    <w:rPr>
                      <w:rFonts w:ascii="Cambria Math" w:hAnsi="Cambria Math"/>
                      <w:i/>
                      <w:color w:val="auto"/>
                      <w:highlight w:val="none"/>
                    </w:rPr>
                  </m:ctrlPr>
                </m:sub>
              </m:sSub>
              <m:r>
                <m:rPr>
                  <m:nor/>
                </m:rPr>
                <w:rPr>
                  <w:i/>
                  <w:color w:val="auto"/>
                  <w:highlight w:val="none"/>
                </w:rPr>
                <m:t>(</m:t>
              </m:r>
              <m:sSub>
                <m:sSubPr>
                  <m:ctrlPr>
                    <w:rPr>
                      <w:rFonts w:ascii="Cambria Math" w:hAnsi="Cambria Math"/>
                      <w:i/>
                      <w:color w:val="auto"/>
                      <w:highlight w:val="none"/>
                    </w:rPr>
                  </m:ctrlPr>
                </m:sSubPr>
                <m:e>
                  <m:r>
                    <m:rPr>
                      <m:nor/>
                    </m:rPr>
                    <w:rPr>
                      <w:i/>
                      <w:color w:val="auto"/>
                      <w:highlight w:val="none"/>
                    </w:rPr>
                    <m:t>X</m:t>
                  </m:r>
                  <m:ctrlPr>
                    <w:rPr>
                      <w:rFonts w:ascii="Cambria Math" w:hAnsi="Cambria Math"/>
                      <w:i/>
                      <w:color w:val="auto"/>
                      <w:highlight w:val="none"/>
                    </w:rPr>
                  </m:ctrlPr>
                </m:e>
                <m:sub>
                  <m:r>
                    <m:rPr>
                      <m:nor/>
                    </m:rPr>
                    <w:rPr>
                      <w:i/>
                      <w:color w:val="auto"/>
                      <w:highlight w:val="none"/>
                    </w:rPr>
                    <m:t>i</m:t>
                  </m:r>
                  <m:ctrlPr>
                    <w:rPr>
                      <w:rFonts w:ascii="Cambria Math" w:hAnsi="Cambria Math"/>
                      <w:i/>
                      <w:color w:val="auto"/>
                      <w:highlight w:val="none"/>
                    </w:rPr>
                  </m:ctrlPr>
                </m:sub>
              </m:sSub>
              <m:r>
                <m:rPr>
                  <m:nor/>
                </m:rPr>
                <w:rPr>
                  <w:i/>
                  <w:color w:val="auto"/>
                  <w:highlight w:val="none"/>
                </w:rPr>
                <m:t>-</m:t>
              </m:r>
              <m:sSub>
                <m:sSubPr>
                  <m:ctrlPr>
                    <w:rPr>
                      <w:rFonts w:ascii="Cambria Math" w:hAnsi="Cambria Math"/>
                      <w:i/>
                      <w:color w:val="auto"/>
                      <w:highlight w:val="none"/>
                    </w:rPr>
                  </m:ctrlPr>
                </m:sSubPr>
                <m:e>
                  <m:r>
                    <m:rPr>
                      <m:nor/>
                    </m:rPr>
                    <w:rPr>
                      <w:i/>
                      <w:color w:val="auto"/>
                      <w:highlight w:val="none"/>
                    </w:rPr>
                    <m:t>X</m:t>
                  </m:r>
                  <m:ctrlPr>
                    <w:rPr>
                      <w:rFonts w:ascii="Cambria Math" w:hAnsi="Cambria Math"/>
                      <w:i/>
                      <w:color w:val="auto"/>
                      <w:highlight w:val="none"/>
                    </w:rPr>
                  </m:ctrlPr>
                </m:e>
                <m:sub>
                  <m:r>
                    <m:rPr>
                      <m:nor/>
                    </m:rPr>
                    <w:rPr>
                      <w:i/>
                      <w:color w:val="auto"/>
                      <w:highlight w:val="none"/>
                    </w:rPr>
                    <m:t>r</m:t>
                  </m:r>
                  <m:ctrlPr>
                    <w:rPr>
                      <w:rFonts w:ascii="Cambria Math" w:hAnsi="Cambria Math"/>
                      <w:i/>
                      <w:color w:val="auto"/>
                      <w:highlight w:val="none"/>
                    </w:rPr>
                  </m:ctrlPr>
                </m:sub>
              </m:sSub>
              <m:r>
                <m:rPr>
                  <m:nor/>
                </m:rPr>
                <w:rPr>
                  <w:i/>
                  <w:color w:val="auto"/>
                  <w:highlight w:val="none"/>
                </w:rPr>
                <m:t>)</m:t>
              </m:r>
              <m:ctrlPr>
                <w:rPr>
                  <w:rFonts w:ascii="Cambria Math" w:hAnsi="Cambria Math"/>
                  <w:i/>
                  <w:color w:val="auto"/>
                  <w:highlight w:val="none"/>
                </w:rPr>
              </m:ctrlPr>
            </m:num>
            <m:den>
              <m:sSub>
                <m:sSubPr>
                  <m:ctrlPr>
                    <w:rPr>
                      <w:rFonts w:ascii="Cambria Math" w:hAnsi="Cambria Math"/>
                      <w:i/>
                      <w:color w:val="auto"/>
                      <w:highlight w:val="none"/>
                    </w:rPr>
                  </m:ctrlPr>
                </m:sSubPr>
                <m:e>
                  <m:r>
                    <m:rPr>
                      <m:nor/>
                    </m:rPr>
                    <w:rPr>
                      <w:i/>
                      <w:color w:val="auto"/>
                      <w:highlight w:val="none"/>
                    </w:rPr>
                    <m:t>S</m:t>
                  </m:r>
                  <m:ctrlPr>
                    <w:rPr>
                      <w:rFonts w:ascii="Cambria Math" w:hAnsi="Cambria Math"/>
                      <w:i/>
                      <w:color w:val="auto"/>
                      <w:highlight w:val="none"/>
                    </w:rPr>
                  </m:ctrlPr>
                </m:e>
                <m:sub>
                  <m:r>
                    <m:rPr>
                      <m:nor/>
                    </m:rPr>
                    <w:rPr>
                      <w:i/>
                      <w:color w:val="auto"/>
                      <w:highlight w:val="none"/>
                    </w:rPr>
                    <m:t>x</m:t>
                  </m:r>
                  <m:ctrlPr>
                    <w:rPr>
                      <w:rFonts w:ascii="Cambria Math" w:hAnsi="Cambria Math"/>
                      <w:i/>
                      <w:color w:val="auto"/>
                      <w:highlight w:val="none"/>
                    </w:rPr>
                  </m:ctrlPr>
                </m:sub>
              </m:sSub>
              <m:ctrlPr>
                <w:rPr>
                  <w:rFonts w:ascii="Cambria Math" w:hAnsi="Cambria Math"/>
                  <w:i/>
                  <w:color w:val="auto"/>
                  <w:highlight w:val="none"/>
                </w:rPr>
              </m:ctrlPr>
            </m:den>
          </m:f>
          <m:r>
            <m:rPr>
              <m:nor/>
              <m:sty m:val="p"/>
            </m:rPr>
            <w:rPr>
              <w:b w:val="0"/>
              <w:i w:val="0"/>
              <w:color w:val="auto"/>
              <w:highlight w:val="none"/>
            </w:rPr>
            <m:t>+</m:t>
          </m:r>
          <m:f>
            <m:fPr>
              <m:ctrlPr>
                <w:rPr>
                  <w:rFonts w:ascii="Cambria Math" w:hAnsi="Cambria Math"/>
                  <w:color w:val="auto"/>
                  <w:highlight w:val="none"/>
                </w:rPr>
              </m:ctrlPr>
            </m:fPr>
            <m:num>
              <m:r>
                <m:rPr>
                  <m:nor/>
                </m:rPr>
                <w:rPr>
                  <w:i/>
                  <w:color w:val="auto"/>
                  <w:highlight w:val="none"/>
                </w:rPr>
                <m:t>G</m:t>
              </m:r>
              <m:sSub>
                <m:sSubPr>
                  <m:ctrlPr>
                    <w:rPr>
                      <w:rFonts w:ascii="Cambria Math" w:hAnsi="Cambria Math"/>
                      <w:i/>
                      <w:color w:val="auto"/>
                      <w:highlight w:val="none"/>
                    </w:rPr>
                  </m:ctrlPr>
                </m:sSubPr>
                <m:e>
                  <m:r>
                    <m:rPr>
                      <m:nor/>
                    </m:rPr>
                    <w:rPr>
                      <w:i/>
                      <w:color w:val="auto"/>
                      <w:highlight w:val="none"/>
                    </w:rPr>
                    <m:t>e</m:t>
                  </m:r>
                  <m:ctrlPr>
                    <w:rPr>
                      <w:rFonts w:ascii="Cambria Math" w:hAnsi="Cambria Math"/>
                      <w:i/>
                      <w:color w:val="auto"/>
                      <w:highlight w:val="none"/>
                    </w:rPr>
                  </m:ctrlPr>
                </m:e>
                <m:sub>
                  <m:r>
                    <m:rPr>
                      <m:nor/>
                    </m:rPr>
                    <w:rPr>
                      <w:i/>
                      <w:color w:val="auto"/>
                      <w:highlight w:val="none"/>
                    </w:rPr>
                    <m:t>y</m:t>
                  </m:r>
                  <m:ctrlPr>
                    <w:rPr>
                      <w:rFonts w:ascii="Cambria Math" w:hAnsi="Cambria Math"/>
                      <w:i/>
                      <w:color w:val="auto"/>
                      <w:highlight w:val="none"/>
                    </w:rPr>
                  </m:ctrlPr>
                </m:sub>
              </m:sSub>
              <m:r>
                <m:rPr>
                  <m:nor/>
                </m:rPr>
                <w:rPr>
                  <w:i/>
                  <w:color w:val="auto"/>
                  <w:highlight w:val="none"/>
                </w:rPr>
                <m:t>(</m:t>
              </m:r>
              <m:sSub>
                <m:sSubPr>
                  <m:ctrlPr>
                    <w:rPr>
                      <w:rFonts w:ascii="Cambria Math" w:hAnsi="Cambria Math"/>
                      <w:i/>
                      <w:color w:val="auto"/>
                      <w:highlight w:val="none"/>
                    </w:rPr>
                  </m:ctrlPr>
                </m:sSubPr>
                <m:e>
                  <m:r>
                    <m:rPr>
                      <m:nor/>
                    </m:rPr>
                    <w:rPr>
                      <w:i/>
                      <w:color w:val="auto"/>
                      <w:highlight w:val="none"/>
                    </w:rPr>
                    <m:t>Y</m:t>
                  </m:r>
                  <m:ctrlPr>
                    <w:rPr>
                      <w:rFonts w:ascii="Cambria Math" w:hAnsi="Cambria Math"/>
                      <w:i/>
                      <w:color w:val="auto"/>
                      <w:highlight w:val="none"/>
                    </w:rPr>
                  </m:ctrlPr>
                </m:e>
                <m:sub>
                  <m:r>
                    <m:rPr>
                      <m:nor/>
                    </m:rPr>
                    <w:rPr>
                      <w:i/>
                      <w:color w:val="auto"/>
                      <w:highlight w:val="none"/>
                    </w:rPr>
                    <m:t>i</m:t>
                  </m:r>
                  <m:ctrlPr>
                    <w:rPr>
                      <w:rFonts w:ascii="Cambria Math" w:hAnsi="Cambria Math"/>
                      <w:i/>
                      <w:color w:val="auto"/>
                      <w:highlight w:val="none"/>
                    </w:rPr>
                  </m:ctrlPr>
                </m:sub>
              </m:sSub>
              <m:r>
                <m:rPr>
                  <m:nor/>
                </m:rPr>
                <w:rPr>
                  <w:i/>
                  <w:color w:val="auto"/>
                  <w:highlight w:val="none"/>
                </w:rPr>
                <m:t>-</m:t>
              </m:r>
              <m:sSub>
                <m:sSubPr>
                  <m:ctrlPr>
                    <w:rPr>
                      <w:rFonts w:ascii="Cambria Math" w:hAnsi="Cambria Math"/>
                      <w:i/>
                      <w:color w:val="auto"/>
                      <w:highlight w:val="none"/>
                    </w:rPr>
                  </m:ctrlPr>
                </m:sSubPr>
                <m:e>
                  <m:r>
                    <m:rPr>
                      <m:nor/>
                    </m:rPr>
                    <w:rPr>
                      <w:i/>
                      <w:color w:val="auto"/>
                      <w:highlight w:val="none"/>
                    </w:rPr>
                    <m:t>Y</m:t>
                  </m:r>
                  <m:ctrlPr>
                    <w:rPr>
                      <w:rFonts w:ascii="Cambria Math" w:hAnsi="Cambria Math"/>
                      <w:i/>
                      <w:color w:val="auto"/>
                      <w:highlight w:val="none"/>
                    </w:rPr>
                  </m:ctrlPr>
                </m:e>
                <m:sub>
                  <m:r>
                    <m:rPr>
                      <m:nor/>
                    </m:rPr>
                    <w:rPr>
                      <w:i/>
                      <w:color w:val="auto"/>
                      <w:highlight w:val="none"/>
                    </w:rPr>
                    <m:t>r</m:t>
                  </m:r>
                  <m:ctrlPr>
                    <w:rPr>
                      <w:rFonts w:ascii="Cambria Math" w:hAnsi="Cambria Math"/>
                      <w:i/>
                      <w:color w:val="auto"/>
                      <w:highlight w:val="none"/>
                    </w:rPr>
                  </m:ctrlPr>
                </m:sub>
              </m:sSub>
              <m:r>
                <m:rPr>
                  <m:nor/>
                </m:rPr>
                <w:rPr>
                  <w:i/>
                  <w:color w:val="auto"/>
                  <w:highlight w:val="none"/>
                </w:rPr>
                <m:t>)</m:t>
              </m:r>
              <m:ctrlPr>
                <w:rPr>
                  <w:rFonts w:ascii="Cambria Math" w:hAnsi="Cambria Math"/>
                  <w:i/>
                  <w:color w:val="auto"/>
                  <w:highlight w:val="none"/>
                </w:rPr>
              </m:ctrlPr>
            </m:num>
            <m:den>
              <m:sSub>
                <m:sSubPr>
                  <m:ctrlPr>
                    <w:rPr>
                      <w:rFonts w:ascii="Cambria Math" w:hAnsi="Cambria Math"/>
                      <w:i/>
                      <w:color w:val="auto"/>
                      <w:highlight w:val="none"/>
                    </w:rPr>
                  </m:ctrlPr>
                </m:sSubPr>
                <m:e>
                  <m:r>
                    <m:rPr>
                      <m:nor/>
                    </m:rPr>
                    <w:rPr>
                      <w:i/>
                      <w:color w:val="auto"/>
                      <w:highlight w:val="none"/>
                    </w:rPr>
                    <m:t>S</m:t>
                  </m:r>
                  <m:ctrlPr>
                    <w:rPr>
                      <w:rFonts w:ascii="Cambria Math" w:hAnsi="Cambria Math"/>
                      <w:i/>
                      <w:color w:val="auto"/>
                      <w:highlight w:val="none"/>
                    </w:rPr>
                  </m:ctrlPr>
                </m:e>
                <m:sub>
                  <m:r>
                    <m:rPr>
                      <m:nor/>
                    </m:rPr>
                    <w:rPr>
                      <w:i/>
                      <w:color w:val="auto"/>
                      <w:highlight w:val="none"/>
                    </w:rPr>
                    <m:t>y</m:t>
                  </m:r>
                  <m:ctrlPr>
                    <w:rPr>
                      <w:rFonts w:ascii="Cambria Math" w:hAnsi="Cambria Math"/>
                      <w:i/>
                      <w:color w:val="auto"/>
                      <w:highlight w:val="none"/>
                    </w:rPr>
                  </m:ctrlPr>
                </m:sub>
              </m:sSub>
              <m:ctrlPr>
                <w:rPr>
                  <w:rFonts w:ascii="Cambria Math" w:hAnsi="Cambria Math"/>
                  <w:i/>
                  <w:color w:val="auto"/>
                  <w:highlight w:val="none"/>
                </w:rPr>
              </m:ctrlPr>
            </m:den>
          </m:f>
        </m:oMath>
      </m:oMathPara>
    </w:p>
    <w:p>
      <w:pPr>
        <w:rPr>
          <w:color w:val="auto"/>
          <w:highlight w:val="none"/>
        </w:rPr>
      </w:pPr>
    </w:p>
    <w:p>
      <w:pPr>
        <w:rPr>
          <w:color w:val="auto"/>
          <w:highlight w:val="none"/>
        </w:rPr>
      </w:pPr>
      <w:r>
        <w:rPr>
          <w:rFonts w:hint="eastAsia"/>
          <w:color w:val="auto"/>
          <w:highlight w:val="none"/>
        </w:rPr>
        <w:t>式中：</w:t>
      </w:r>
    </w:p>
    <w:p>
      <w:pPr>
        <w:ind w:firstLine="420" w:firstLineChars="200"/>
        <w:rPr>
          <w:color w:val="auto"/>
          <w:highlight w:val="none"/>
        </w:rPr>
      </w:pPr>
      <w:r>
        <w:rPr>
          <w:rFonts w:hint="eastAsia"/>
          <w:color w:val="auto"/>
          <w:highlight w:val="none"/>
        </w:rPr>
        <w:t>G – 模块的重力荷载标准值；</w:t>
      </w:r>
    </w:p>
    <w:p>
      <w:pPr>
        <w:ind w:firstLine="420" w:firstLineChars="200"/>
        <w:rPr>
          <w:color w:val="auto"/>
          <w:highlight w:val="none"/>
        </w:rPr>
      </w:pPr>
      <w:r>
        <w:rPr>
          <w:rFonts w:hint="eastAsia"/>
          <w:color w:val="auto"/>
          <w:highlight w:val="none"/>
        </w:rPr>
        <w:t>n – 吊点的数量；</w:t>
      </w:r>
    </w:p>
    <w:p>
      <w:pPr>
        <w:ind w:firstLine="420" w:firstLineChars="200"/>
        <w:rPr>
          <w:color w:val="auto"/>
          <w:highlight w:val="none"/>
        </w:rPr>
      </w:pPr>
      <w:r>
        <w:rPr>
          <w:rFonts w:hint="eastAsia"/>
          <w:color w:val="auto"/>
          <w:highlight w:val="none"/>
        </w:rPr>
        <w:t>Xi、Yi – 吊点的坐标点；</w:t>
      </w:r>
    </w:p>
    <w:p>
      <w:pPr>
        <w:ind w:firstLine="420" w:firstLineChars="200"/>
        <w:rPr>
          <w:color w:val="auto"/>
          <w:highlight w:val="none"/>
        </w:rPr>
      </w:pPr>
      <w:r>
        <w:rPr>
          <w:rFonts w:hint="eastAsia"/>
          <w:color w:val="auto"/>
          <w:highlight w:val="none"/>
        </w:rPr>
        <w:t>Xr、Yr –吊点的中心坐标点；</w:t>
      </w:r>
    </w:p>
    <w:p>
      <w:pPr>
        <w:ind w:firstLine="420" w:firstLineChars="200"/>
        <w:rPr>
          <w:color w:val="auto"/>
          <w:highlight w:val="none"/>
        </w:rPr>
      </w:pPr>
      <w:r>
        <w:rPr>
          <w:rFonts w:hint="eastAsia"/>
          <w:color w:val="auto"/>
          <w:highlight w:val="none"/>
        </w:rPr>
        <w:t>X0、Y0 –模块单元的重心坐标点；</w:t>
      </w:r>
    </w:p>
    <w:p>
      <w:pPr>
        <w:ind w:firstLine="420" w:firstLineChars="200"/>
        <w:rPr>
          <w:color w:val="auto"/>
          <w:highlight w:val="none"/>
        </w:rPr>
      </w:pPr>
      <w:r>
        <w:rPr>
          <w:rFonts w:hint="eastAsia"/>
          <w:color w:val="auto"/>
          <w:highlight w:val="none"/>
        </w:rPr>
        <w:t>ex、ey –吊点中心坐标点与模块重心坐标点的偏心距；</w:t>
      </w:r>
    </w:p>
    <w:p>
      <w:pPr>
        <w:ind w:firstLine="420" w:firstLineChars="200"/>
        <w:rPr>
          <w:color w:val="auto"/>
          <w:highlight w:val="none"/>
        </w:rPr>
      </w:pPr>
      <w:r>
        <w:rPr>
          <w:rFonts w:hint="eastAsia"/>
          <w:color w:val="auto"/>
          <w:highlight w:val="none"/>
        </w:rPr>
        <w:t>FAi –吊点Ai的吊点力。</w:t>
      </w:r>
    </w:p>
    <w:p>
      <w:pPr>
        <w:rPr>
          <w:color w:val="auto"/>
          <w:highlight w:val="none"/>
        </w:rPr>
      </w:pPr>
      <w:r>
        <w:rPr>
          <w:rFonts w:hint="eastAsia" w:eastAsia="Times New Roman"/>
          <w:b/>
          <w:color w:val="auto"/>
          <w:spacing w:val="28"/>
          <w:highlight w:val="none"/>
        </w:rPr>
        <w:t>5.5.</w:t>
      </w:r>
      <w:r>
        <w:rPr>
          <w:rFonts w:hint="eastAsia"/>
          <w:b/>
          <w:color w:val="auto"/>
          <w:spacing w:val="28"/>
          <w:highlight w:val="none"/>
        </w:rPr>
        <w:t>4</w:t>
      </w:r>
      <w:r>
        <w:rPr>
          <w:rFonts w:hint="eastAsia"/>
          <w:color w:val="auto"/>
          <w:highlight w:val="none"/>
        </w:rPr>
        <w:t xml:space="preserve">  确定吊环钢筋所需面积时，钢筋的抗拉强度设计值应乘以折减系数。在折减系数中考虑的因素有：构件自重荷载分项系数取为1.3，吸附作用引起的超载系数取为1.2，钢筋弯折后的应力集中对强度的折减系数取为1.4，动力系数取为1.5，钢丝绳角度对吊环承载力的影响系数取为1.4，于是，当取HPB300级钢筋的抗拉强度设计值为fy＝270N/mm2时，吊环钢筋实际取用的允许拉应力值约为60N/mm2。作用于吊环的荷载应根据实际情况确定，一般为模块单元自重、悬挂设备自重及活荷载。吊环截面应力验算时，荷载取标准值。</w:t>
      </w:r>
    </w:p>
    <w:p>
      <w:pPr>
        <w:ind w:firstLine="420" w:firstLineChars="200"/>
        <w:rPr>
          <w:color w:val="auto"/>
          <w:highlight w:val="none"/>
        </w:rPr>
      </w:pPr>
      <w:r>
        <w:rPr>
          <w:rFonts w:hint="eastAsia"/>
          <w:color w:val="auto"/>
          <w:highlight w:val="none"/>
        </w:rPr>
        <w:t>当采用专用吊架起吊时，通过调平拉紧装置可确保所有吊链均匀受力，实现所有吊点及吊链共同工作，但考虑到实际吊装过程中吊点的实际受力与计算值可能存在偏差，因此在进行吊架和吊具设计时，应根据荷载标准值的1.5倍进行设计。当采用专用吊架，吊链角度大于80度且无脱模吸附力作用时，钢丝绳角度对吊环承载力的影响系数可适当减小，同时不考虑吸附作用引起的超载系数，对于HPB300级钢筋，吊环钢筋实际取用的允许拉应力值约为90N/mm2。</w:t>
      </w:r>
    </w:p>
    <w:p>
      <w:pPr>
        <w:rPr>
          <w:color w:val="auto"/>
          <w:highlight w:val="none"/>
        </w:rPr>
      </w:pPr>
      <w:r>
        <w:rPr>
          <w:rFonts w:hint="eastAsia" w:eastAsia="Times New Roman"/>
          <w:b/>
          <w:color w:val="auto"/>
          <w:spacing w:val="28"/>
          <w:highlight w:val="none"/>
        </w:rPr>
        <w:t>5.5.</w:t>
      </w:r>
      <w:r>
        <w:rPr>
          <w:rFonts w:hint="eastAsia"/>
          <w:b/>
          <w:color w:val="auto"/>
          <w:spacing w:val="28"/>
          <w:highlight w:val="none"/>
        </w:rPr>
        <w:t>6</w:t>
      </w:r>
      <w:r>
        <w:rPr>
          <w:rFonts w:hint="eastAsia"/>
          <w:color w:val="auto"/>
          <w:highlight w:val="none"/>
        </w:rPr>
        <w:t xml:space="preserve">  模块单元安装状况下的验算及公式说明：</w:t>
      </w:r>
    </w:p>
    <w:p>
      <w:pPr>
        <w:snapToGrid w:val="0"/>
        <w:jc w:val="center"/>
        <w:rPr>
          <w:color w:val="auto"/>
          <w:highlight w:val="none"/>
        </w:rPr>
      </w:pPr>
      <w:r>
        <w:rPr>
          <w:color w:val="auto"/>
          <w:highlight w:val="none"/>
        </w:rPr>
        <w:drawing>
          <wp:inline distT="0" distB="0" distL="114300" distR="114300">
            <wp:extent cx="2578100" cy="2016125"/>
            <wp:effectExtent l="0" t="0" r="12700" b="10795"/>
            <wp:docPr id="1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
                    <pic:cNvPicPr>
                      <a:picLocks noChangeAspect="1"/>
                    </pic:cNvPicPr>
                  </pic:nvPicPr>
                  <pic:blipFill>
                    <a:blip r:embed="rId67"/>
                    <a:stretch>
                      <a:fillRect/>
                    </a:stretch>
                  </pic:blipFill>
                  <pic:spPr>
                    <a:xfrm>
                      <a:off x="0" y="0"/>
                      <a:ext cx="2578100" cy="2016125"/>
                    </a:xfrm>
                    <a:prstGeom prst="rect">
                      <a:avLst/>
                    </a:prstGeom>
                    <a:noFill/>
                    <a:ln>
                      <a:noFill/>
                    </a:ln>
                  </pic:spPr>
                </pic:pic>
              </a:graphicData>
            </a:graphic>
          </wp:inline>
        </w:drawing>
      </w:r>
    </w:p>
    <w:p>
      <w:pPr>
        <w:pStyle w:val="54"/>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图19  模块单元抗倾覆稳定验算示意图</w:t>
      </w:r>
    </w:p>
    <w:p>
      <w:pPr>
        <w:jc w:val="center"/>
        <w:rPr>
          <w:rFonts w:hint="eastAsia" w:ascii="宋体" w:hAnsi="宋体" w:cs="宋体"/>
          <w:color w:val="auto"/>
          <w:highlight w:val="none"/>
        </w:rPr>
      </w:pPr>
      <m:oMathPara>
        <m:oMath>
          <m:sSub>
            <m:sSubPr>
              <m:ctrlPr>
                <w:rPr>
                  <w:rFonts w:hint="eastAsia" w:ascii="Cambria Math" w:hAnsi="Cambria Math" w:cs="宋体"/>
                  <w:i/>
                  <w:color w:val="auto"/>
                  <w:highlight w:val="none"/>
                </w:rPr>
              </m:ctrlPr>
            </m:sSubPr>
            <m:e>
              <m:r>
                <m:rPr/>
                <w:rPr>
                  <w:rFonts w:hint="eastAsia" w:ascii="Cambria Math" w:hAnsi="Cambria Math" w:cs="宋体"/>
                  <w:color w:val="auto"/>
                  <w:highlight w:val="none"/>
                </w:rPr>
                <m:t>M</m:t>
              </m:r>
              <m:ctrlPr>
                <w:rPr>
                  <w:rFonts w:hint="eastAsia" w:ascii="Cambria Math" w:hAnsi="Cambria Math" w:cs="宋体"/>
                  <w:i/>
                  <w:color w:val="auto"/>
                  <w:highlight w:val="none"/>
                </w:rPr>
              </m:ctrlPr>
            </m:e>
            <m:sub>
              <m:r>
                <m:rPr>
                  <m:sty m:val="p"/>
                </m:rPr>
                <w:rPr>
                  <w:rFonts w:hint="eastAsia" w:ascii="Cambria Math" w:hAnsi="Cambria Math" w:cs="宋体"/>
                  <w:color w:val="auto"/>
                  <w:highlight w:val="none"/>
                </w:rPr>
                <m:t>w</m:t>
              </m:r>
              <m:ctrlPr>
                <w:rPr>
                  <w:rFonts w:hint="eastAsia" w:ascii="Cambria Math" w:hAnsi="Cambria Math" w:cs="宋体"/>
                  <w:i/>
                  <w:color w:val="auto"/>
                  <w:highlight w:val="none"/>
                </w:rPr>
              </m:ctrlPr>
            </m:sub>
          </m:sSub>
          <m:r>
            <m:rPr>
              <m:nor/>
              <m:sty m:val="p"/>
            </m:rPr>
            <w:rPr>
              <w:rFonts w:hint="eastAsia" w:ascii="Cambria Math" w:hAnsi="Cambria Math" w:cs="宋体"/>
              <w:b w:val="0"/>
              <w:i w:val="0"/>
              <w:color w:val="auto"/>
              <w:highlight w:val="none"/>
            </w:rPr>
            <m:t>=</m:t>
          </m:r>
          <m:f>
            <m:fPr>
              <m:ctrlPr>
                <w:rPr>
                  <w:rFonts w:hint="eastAsia" w:ascii="Cambria Math" w:hAnsi="Cambria Math" w:cs="宋体"/>
                  <w:color w:val="auto"/>
                  <w:highlight w:val="none"/>
                </w:rPr>
              </m:ctrlPr>
            </m:fPr>
            <m:num>
              <m:r>
                <m:rPr>
                  <m:nor/>
                </m:rPr>
                <w:rPr>
                  <w:rFonts w:hint="eastAsia" w:ascii="Cambria Math" w:hAnsi="Cambria Math" w:cs="宋体"/>
                  <w:i/>
                  <w:color w:val="auto"/>
                  <w:highlight w:val="none"/>
                </w:rPr>
                <m:t>WB</m:t>
              </m:r>
              <m:sSup>
                <m:sSupPr>
                  <m:ctrlPr>
                    <w:rPr>
                      <w:rFonts w:hint="eastAsia" w:ascii="Cambria Math" w:hAnsi="Cambria Math" w:cs="宋体"/>
                      <w:color w:val="auto"/>
                      <w:highlight w:val="none"/>
                    </w:rPr>
                  </m:ctrlPr>
                </m:sSupPr>
                <m:e>
                  <m:r>
                    <m:rPr>
                      <m:nor/>
                    </m:rPr>
                    <w:rPr>
                      <w:rFonts w:hint="eastAsia" w:ascii="Cambria Math" w:hAnsi="Cambria Math" w:cs="宋体"/>
                      <w:i/>
                      <w:color w:val="auto"/>
                      <w:highlight w:val="none"/>
                    </w:rPr>
                    <m:t>H</m:t>
                  </m:r>
                  <m:ctrlPr>
                    <w:rPr>
                      <w:rFonts w:hint="eastAsia" w:ascii="Cambria Math" w:hAnsi="Cambria Math" w:cs="宋体"/>
                      <w:color w:val="auto"/>
                      <w:highlight w:val="none"/>
                    </w:rPr>
                  </m:ctrlPr>
                </m:e>
                <m:sup>
                  <m:r>
                    <m:rPr>
                      <m:nor/>
                      <m:sty m:val="p"/>
                    </m:rPr>
                    <w:rPr>
                      <w:rFonts w:hint="eastAsia" w:ascii="Cambria Math" w:hAnsi="Cambria Math" w:cs="宋体"/>
                      <w:b w:val="0"/>
                      <w:i w:val="0"/>
                      <w:color w:val="auto"/>
                      <w:highlight w:val="none"/>
                    </w:rPr>
                    <m:t>2</m:t>
                  </m:r>
                  <m:ctrlPr>
                    <w:rPr>
                      <w:rFonts w:hint="eastAsia" w:ascii="Cambria Math" w:hAnsi="Cambria Math" w:cs="宋体"/>
                      <w:color w:val="auto"/>
                      <w:highlight w:val="none"/>
                    </w:rPr>
                  </m:ctrlPr>
                </m:sup>
              </m:sSup>
              <m:ctrlPr>
                <w:rPr>
                  <w:rFonts w:hint="eastAsia" w:ascii="Cambria Math" w:hAnsi="Cambria Math" w:cs="宋体"/>
                  <w:color w:val="auto"/>
                  <w:highlight w:val="none"/>
                </w:rPr>
              </m:ctrlPr>
            </m:num>
            <m:den>
              <m:r>
                <m:rPr>
                  <m:nor/>
                  <m:sty m:val="p"/>
                </m:rPr>
                <w:rPr>
                  <w:rFonts w:hint="eastAsia" w:ascii="Cambria Math" w:hAnsi="Cambria Math" w:cs="宋体"/>
                  <w:b w:val="0"/>
                  <w:i w:val="0"/>
                  <w:color w:val="auto"/>
                  <w:highlight w:val="none"/>
                </w:rPr>
                <m:t>2</m:t>
              </m:r>
              <m:ctrlPr>
                <w:rPr>
                  <w:rFonts w:hint="eastAsia" w:ascii="Cambria Math" w:hAnsi="Cambria Math" w:cs="宋体"/>
                  <w:color w:val="auto"/>
                  <w:highlight w:val="none"/>
                </w:rPr>
              </m:ctrlPr>
            </m:den>
          </m:f>
        </m:oMath>
      </m:oMathPara>
    </w:p>
    <w:p>
      <w:pPr>
        <w:jc w:val="center"/>
        <w:rPr>
          <w:rFonts w:hint="eastAsia" w:ascii="宋体" w:hAnsi="宋体" w:cs="宋体"/>
          <w:color w:val="auto"/>
          <w:highlight w:val="none"/>
        </w:rPr>
      </w:pPr>
      <m:oMathPara>
        <m:oMathParaPr>
          <m:jc m:val="center"/>
        </m:oMathParaPr>
        <m:oMath>
          <m:sSub>
            <m:sSubPr>
              <m:ctrlPr>
                <w:rPr>
                  <w:rFonts w:hint="eastAsia" w:ascii="Cambria Math" w:hAnsi="Cambria Math" w:cs="宋体"/>
                  <w:i/>
                  <w:color w:val="auto"/>
                  <w:highlight w:val="none"/>
                </w:rPr>
              </m:ctrlPr>
            </m:sSubPr>
            <m:e>
              <m:r>
                <m:rPr/>
                <w:rPr>
                  <w:rFonts w:hint="eastAsia" w:ascii="Cambria Math" w:hAnsi="Cambria Math" w:cs="宋体"/>
                  <w:color w:val="auto"/>
                  <w:highlight w:val="none"/>
                </w:rPr>
                <m:t>M</m:t>
              </m:r>
              <m:ctrlPr>
                <w:rPr>
                  <w:rFonts w:hint="eastAsia" w:ascii="Cambria Math" w:hAnsi="Cambria Math" w:cs="宋体"/>
                  <w:i/>
                  <w:color w:val="auto"/>
                  <w:highlight w:val="none"/>
                </w:rPr>
              </m:ctrlPr>
            </m:e>
            <m:sub>
              <m:r>
                <m:rPr>
                  <m:sty m:val="p"/>
                </m:rPr>
                <w:rPr>
                  <w:rFonts w:hint="eastAsia" w:ascii="Cambria Math" w:hAnsi="Cambria Math" w:cs="宋体"/>
                  <w:color w:val="auto"/>
                  <w:highlight w:val="none"/>
                </w:rPr>
                <m:t>g</m:t>
              </m:r>
              <m:ctrlPr>
                <w:rPr>
                  <w:rFonts w:hint="eastAsia" w:ascii="Cambria Math" w:hAnsi="Cambria Math" w:cs="宋体"/>
                  <w:i/>
                  <w:color w:val="auto"/>
                  <w:highlight w:val="none"/>
                </w:rPr>
              </m:ctrlPr>
            </m:sub>
          </m:sSub>
          <m:r>
            <m:rPr>
              <m:nor/>
              <m:sty m:val="p"/>
            </m:rPr>
            <w:rPr>
              <w:rFonts w:hint="eastAsia" w:ascii="Cambria Math" w:hAnsi="Cambria Math" w:cs="宋体"/>
              <w:b w:val="0"/>
              <w:i w:val="0"/>
              <w:color w:val="auto"/>
              <w:highlight w:val="none"/>
            </w:rPr>
            <m:t>=</m:t>
          </m:r>
          <m:r>
            <m:rPr>
              <m:nor/>
            </m:rPr>
            <w:rPr>
              <w:rFonts w:hint="eastAsia" w:ascii="Cambria Math" w:hAnsi="Cambria Math" w:cs="宋体"/>
              <w:i/>
              <w:color w:val="auto"/>
              <w:highlight w:val="none"/>
            </w:rPr>
            <m:t>GL</m:t>
          </m:r>
        </m:oMath>
      </m:oMathPara>
    </w:p>
    <w:p>
      <w:pPr>
        <w:jc w:val="center"/>
        <w:rPr>
          <w:rFonts w:hint="eastAsia" w:ascii="宋体" w:hAnsi="宋体" w:cs="宋体"/>
          <w:color w:val="auto"/>
          <w:highlight w:val="none"/>
        </w:rPr>
      </w:pPr>
      <m:oMathPara>
        <m:oMath>
          <m:sSub>
            <m:sSubPr>
              <m:ctrlPr>
                <w:rPr>
                  <w:rFonts w:hint="eastAsia" w:ascii="Cambria Math" w:hAnsi="Cambria Math" w:cs="宋体"/>
                  <w:i/>
                  <w:color w:val="auto"/>
                  <w:highlight w:val="none"/>
                </w:rPr>
              </m:ctrlPr>
            </m:sSubPr>
            <m:e>
              <m:r>
                <m:rPr/>
                <w:rPr>
                  <w:rFonts w:hint="eastAsia" w:ascii="Cambria Math" w:hAnsi="Cambria Math" w:cs="宋体"/>
                  <w:color w:val="auto"/>
                  <w:highlight w:val="none"/>
                </w:rPr>
                <m:t>N</m:t>
              </m:r>
              <m:ctrlPr>
                <w:rPr>
                  <w:rFonts w:hint="eastAsia" w:ascii="Cambria Math" w:hAnsi="Cambria Math" w:cs="宋体"/>
                  <w:i/>
                  <w:color w:val="auto"/>
                  <w:highlight w:val="none"/>
                </w:rPr>
              </m:ctrlPr>
            </m:e>
            <m:sub>
              <m:r>
                <m:rPr>
                  <m:sty m:val="p"/>
                </m:rPr>
                <w:rPr>
                  <w:rFonts w:hint="eastAsia" w:ascii="Cambria Math" w:hAnsi="Cambria Math" w:cs="宋体"/>
                  <w:color w:val="auto"/>
                  <w:highlight w:val="none"/>
                </w:rPr>
                <m:t>w</m:t>
              </m:r>
              <m:ctrlPr>
                <w:rPr>
                  <w:rFonts w:hint="eastAsia" w:ascii="Cambria Math" w:hAnsi="Cambria Math" w:cs="宋体"/>
                  <w:i/>
                  <w:color w:val="auto"/>
                  <w:highlight w:val="none"/>
                </w:rPr>
              </m:ctrlPr>
            </m:sub>
          </m:sSub>
          <m:r>
            <m:rPr>
              <m:nor/>
              <m:sty m:val="p"/>
            </m:rPr>
            <w:rPr>
              <w:rFonts w:hint="eastAsia" w:ascii="Cambria Math" w:hAnsi="Cambria Math" w:cs="宋体"/>
              <w:b w:val="0"/>
              <w:i w:val="0"/>
              <w:color w:val="auto"/>
              <w:highlight w:val="none"/>
            </w:rPr>
            <m:t>=</m:t>
          </m:r>
          <m:r>
            <m:rPr>
              <m:nor/>
            </m:rPr>
            <w:rPr>
              <w:rFonts w:hint="eastAsia" w:ascii="Cambria Math" w:hAnsi="Cambria Math" w:cs="宋体"/>
              <w:i/>
              <w:iCs/>
              <w:color w:val="auto"/>
              <w:highlight w:val="none"/>
            </w:rPr>
            <m:t>WBH</m:t>
          </m:r>
        </m:oMath>
      </m:oMathPara>
    </w:p>
    <w:p>
      <w:pPr>
        <w:rPr>
          <w:rFonts w:hint="eastAsia" w:ascii="宋体" w:hAnsi="宋体" w:cs="宋体"/>
          <w:color w:val="auto"/>
          <w:highlight w:val="none"/>
        </w:rPr>
      </w:pPr>
      <w:r>
        <w:rPr>
          <w:rFonts w:hint="eastAsia" w:ascii="宋体" w:hAnsi="宋体" w:cs="宋体"/>
          <w:color w:val="auto"/>
          <w:highlight w:val="none"/>
        </w:rPr>
        <w:t>式中：</w:t>
      </w:r>
    </w:p>
    <w:p>
      <w:pPr>
        <w:ind w:firstLine="420" w:firstLineChars="200"/>
        <w:rPr>
          <w:rFonts w:hint="eastAsia" w:ascii="宋体" w:hAnsi="宋体" w:cs="宋体"/>
          <w:color w:val="auto"/>
          <w:highlight w:val="none"/>
        </w:rPr>
      </w:pPr>
      <w:r>
        <w:rPr>
          <w:rFonts w:hint="eastAsia" w:ascii="宋体" w:hAnsi="宋体" w:cs="宋体"/>
          <w:i/>
          <w:color w:val="auto"/>
          <w:highlight w:val="none"/>
        </w:rPr>
        <w:t>M</w:t>
      </w:r>
      <w:r>
        <w:rPr>
          <w:rFonts w:hint="eastAsia" w:ascii="宋体" w:hAnsi="宋体" w:cs="宋体"/>
          <w:color w:val="auto"/>
          <w:highlight w:val="none"/>
          <w:vertAlign w:val="subscript"/>
        </w:rPr>
        <w:t>w</w:t>
      </w:r>
      <w:r>
        <w:rPr>
          <w:rFonts w:hint="eastAsia" w:ascii="宋体" w:hAnsi="宋体" w:cs="宋体"/>
          <w:color w:val="auto"/>
          <w:highlight w:val="none"/>
        </w:rPr>
        <w:t xml:space="preserve"> – 风荷载标准值作用下的倾覆力矩；</w:t>
      </w:r>
    </w:p>
    <w:p>
      <w:pPr>
        <w:ind w:firstLine="420" w:firstLineChars="200"/>
        <w:rPr>
          <w:rFonts w:hint="eastAsia" w:ascii="宋体" w:hAnsi="宋体" w:cs="宋体"/>
          <w:color w:val="auto"/>
          <w:highlight w:val="none"/>
        </w:rPr>
      </w:pPr>
      <w:r>
        <w:rPr>
          <w:rFonts w:hint="eastAsia" w:ascii="宋体" w:hAnsi="宋体" w:cs="宋体"/>
          <w:i/>
          <w:color w:val="auto"/>
          <w:highlight w:val="none"/>
        </w:rPr>
        <w:t>M</w:t>
      </w:r>
      <w:r>
        <w:rPr>
          <w:rFonts w:hint="eastAsia" w:ascii="宋体" w:hAnsi="宋体" w:cs="宋体"/>
          <w:color w:val="auto"/>
          <w:highlight w:val="none"/>
          <w:vertAlign w:val="subscript"/>
        </w:rPr>
        <w:t>g</w:t>
      </w:r>
      <w:r>
        <w:rPr>
          <w:rFonts w:hint="eastAsia" w:ascii="宋体" w:hAnsi="宋体" w:cs="宋体"/>
          <w:color w:val="auto"/>
          <w:highlight w:val="none"/>
        </w:rPr>
        <w:t xml:space="preserve"> – 模块单元自重标准值下的抗倾覆力矩；</w:t>
      </w:r>
    </w:p>
    <w:p>
      <w:pPr>
        <w:ind w:firstLine="420" w:firstLineChars="200"/>
        <w:rPr>
          <w:rFonts w:hint="eastAsia" w:ascii="宋体" w:hAnsi="宋体" w:cs="宋体"/>
          <w:color w:val="auto"/>
          <w:highlight w:val="none"/>
        </w:rPr>
      </w:pPr>
      <w:r>
        <w:rPr>
          <w:rFonts w:hint="eastAsia" w:ascii="宋体" w:hAnsi="宋体" w:cs="宋体"/>
          <w:i/>
          <w:color w:val="auto"/>
          <w:highlight w:val="none"/>
        </w:rPr>
        <w:t>N</w:t>
      </w:r>
      <w:r>
        <w:rPr>
          <w:rFonts w:hint="eastAsia" w:ascii="宋体" w:hAnsi="宋体" w:cs="宋体"/>
          <w:color w:val="auto"/>
          <w:highlight w:val="none"/>
          <w:vertAlign w:val="subscript"/>
        </w:rPr>
        <w:t>w</w:t>
      </w:r>
      <w:r>
        <w:rPr>
          <w:rFonts w:hint="eastAsia" w:ascii="宋体" w:hAnsi="宋体" w:cs="宋体"/>
          <w:color w:val="auto"/>
          <w:highlight w:val="none"/>
        </w:rPr>
        <w:t xml:space="preserve"> – 风荷载标准值作用下的水平力；</w:t>
      </w:r>
    </w:p>
    <w:p>
      <w:pPr>
        <w:ind w:firstLine="420" w:firstLineChars="200"/>
        <w:rPr>
          <w:rFonts w:hint="eastAsia" w:ascii="宋体" w:hAnsi="宋体" w:cs="宋体"/>
          <w:color w:val="auto"/>
          <w:highlight w:val="none"/>
        </w:rPr>
      </w:pPr>
      <w:r>
        <w:rPr>
          <w:rFonts w:hint="eastAsia" w:ascii="宋体" w:hAnsi="宋体" w:cs="宋体"/>
          <w:i/>
          <w:color w:val="auto"/>
          <w:highlight w:val="none"/>
        </w:rPr>
        <w:t>G</w:t>
      </w:r>
      <w:r>
        <w:rPr>
          <w:rFonts w:hint="eastAsia" w:ascii="宋体" w:hAnsi="宋体" w:cs="宋体"/>
          <w:color w:val="auto"/>
          <w:highlight w:val="none"/>
        </w:rPr>
        <w:t xml:space="preserve"> – 模块单元的重力荷载标准值；</w:t>
      </w:r>
    </w:p>
    <w:p>
      <w:pPr>
        <w:ind w:firstLine="420" w:firstLineChars="200"/>
        <w:rPr>
          <w:rFonts w:hint="eastAsia" w:ascii="宋体" w:hAnsi="宋体" w:cs="宋体"/>
          <w:color w:val="auto"/>
          <w:highlight w:val="none"/>
        </w:rPr>
      </w:pPr>
      <w:r>
        <w:rPr>
          <w:rFonts w:hint="eastAsia" w:ascii="宋体" w:hAnsi="宋体" w:cs="宋体"/>
          <w:i/>
          <w:color w:val="auto"/>
          <w:highlight w:val="none"/>
        </w:rPr>
        <w:t>W</w:t>
      </w:r>
      <w:r>
        <w:rPr>
          <w:rFonts w:hint="eastAsia" w:ascii="宋体" w:hAnsi="宋体" w:cs="宋体"/>
          <w:color w:val="auto"/>
          <w:highlight w:val="none"/>
        </w:rPr>
        <w:t xml:space="preserve"> – 模块的墙面所受风荷载标准值；</w:t>
      </w:r>
    </w:p>
    <w:p>
      <w:pPr>
        <w:ind w:firstLine="420" w:firstLineChars="200"/>
        <w:rPr>
          <w:rFonts w:hint="eastAsia" w:ascii="宋体" w:hAnsi="宋体" w:cs="宋体"/>
          <w:color w:val="auto"/>
          <w:highlight w:val="none"/>
        </w:rPr>
      </w:pPr>
      <w:r>
        <w:rPr>
          <w:rFonts w:hint="eastAsia" w:ascii="宋体" w:hAnsi="宋体" w:cs="宋体"/>
          <w:i/>
          <w:color w:val="auto"/>
          <w:highlight w:val="none"/>
        </w:rPr>
        <w:t>H</w:t>
      </w:r>
      <w:r>
        <w:rPr>
          <w:rFonts w:hint="eastAsia" w:ascii="宋体" w:hAnsi="宋体" w:cs="宋体"/>
          <w:color w:val="auto"/>
          <w:highlight w:val="none"/>
        </w:rPr>
        <w:t xml:space="preserve"> – 模块单元的高度；</w:t>
      </w:r>
    </w:p>
    <w:p>
      <w:pPr>
        <w:ind w:firstLine="420" w:firstLineChars="200"/>
        <w:rPr>
          <w:rFonts w:hint="eastAsia" w:ascii="宋体" w:hAnsi="宋体" w:cs="宋体"/>
          <w:color w:val="auto"/>
          <w:highlight w:val="none"/>
        </w:rPr>
      </w:pPr>
      <w:r>
        <w:rPr>
          <w:rFonts w:hint="eastAsia" w:ascii="宋体" w:hAnsi="宋体" w:cs="宋体"/>
          <w:i/>
          <w:iCs/>
          <w:color w:val="auto"/>
          <w:highlight w:val="none"/>
        </w:rPr>
        <w:t xml:space="preserve">B </w:t>
      </w:r>
      <w:r>
        <w:rPr>
          <w:rFonts w:hint="eastAsia" w:ascii="宋体" w:hAnsi="宋体" w:cs="宋体"/>
          <w:color w:val="auto"/>
          <w:highlight w:val="none"/>
        </w:rPr>
        <w:t>– 模块单元迎风面宽度；</w:t>
      </w:r>
    </w:p>
    <w:p>
      <w:pPr>
        <w:rPr>
          <w:rFonts w:hint="eastAsia" w:ascii="宋体" w:hAnsi="宋体" w:cs="宋体"/>
          <w:color w:val="auto"/>
          <w:highlight w:val="none"/>
        </w:rPr>
      </w:pPr>
      <w:r>
        <w:rPr>
          <w:rFonts w:hint="eastAsia" w:ascii="宋体" w:hAnsi="宋体" w:cs="宋体"/>
          <w:i/>
          <w:color w:val="auto"/>
          <w:highlight w:val="none"/>
        </w:rPr>
        <w:t>L</w:t>
      </w:r>
      <w:r>
        <w:rPr>
          <w:rFonts w:hint="eastAsia" w:ascii="宋体" w:hAnsi="宋体" w:cs="宋体"/>
          <w:color w:val="auto"/>
          <w:highlight w:val="none"/>
        </w:rPr>
        <w:t xml:space="preserve"> – 模块单元重心点到倾覆支点的距离。</w:t>
      </w:r>
    </w:p>
    <w:p>
      <w:pPr>
        <w:pStyle w:val="4"/>
        <w:numPr>
          <w:ilvl w:val="1"/>
          <w:numId w:val="0"/>
        </w:numPr>
        <w:rPr>
          <w:color w:val="auto"/>
          <w:highlight w:val="none"/>
        </w:rPr>
      </w:pPr>
      <w:r>
        <w:rPr>
          <w:rFonts w:eastAsia="Times New Roman"/>
          <w:b/>
          <w:color w:val="auto"/>
          <w:spacing w:val="20"/>
          <w:szCs w:val="21"/>
          <w:highlight w:val="none"/>
        </w:rPr>
        <w:t>5.</w:t>
      </w:r>
      <w:r>
        <w:rPr>
          <w:rFonts w:hint="eastAsia" w:eastAsia="Times New Roman"/>
          <w:b/>
          <w:color w:val="auto"/>
          <w:spacing w:val="20"/>
          <w:szCs w:val="21"/>
          <w:highlight w:val="none"/>
        </w:rPr>
        <w:t xml:space="preserve">6  </w:t>
      </w:r>
      <w:r>
        <w:rPr>
          <w:rFonts w:hint="eastAsia"/>
          <w:color w:val="auto"/>
          <w:highlight w:val="none"/>
        </w:rPr>
        <w:t>地基基础</w:t>
      </w:r>
    </w:p>
    <w:p>
      <w:pPr>
        <w:rPr>
          <w:color w:val="auto"/>
          <w:highlight w:val="none"/>
        </w:rPr>
      </w:pPr>
      <w:r>
        <w:rPr>
          <w:rFonts w:hint="eastAsia" w:eastAsia="Times New Roman"/>
          <w:b/>
          <w:color w:val="auto"/>
          <w:spacing w:val="28"/>
          <w:highlight w:val="none"/>
        </w:rPr>
        <w:t>5.</w:t>
      </w:r>
      <w:r>
        <w:rPr>
          <w:rFonts w:hint="eastAsia"/>
          <w:b/>
          <w:color w:val="auto"/>
          <w:spacing w:val="28"/>
          <w:highlight w:val="none"/>
        </w:rPr>
        <w:t>6</w:t>
      </w:r>
      <w:r>
        <w:rPr>
          <w:rFonts w:hint="eastAsia" w:eastAsia="Times New Roman"/>
          <w:b/>
          <w:color w:val="auto"/>
          <w:spacing w:val="28"/>
          <w:highlight w:val="none"/>
        </w:rPr>
        <w:t>.</w:t>
      </w:r>
      <w:r>
        <w:rPr>
          <w:rFonts w:hint="eastAsia"/>
          <w:b/>
          <w:color w:val="auto"/>
          <w:spacing w:val="28"/>
          <w:highlight w:val="none"/>
        </w:rPr>
        <w:t>2</w:t>
      </w:r>
      <w:r>
        <w:rPr>
          <w:rFonts w:hint="eastAsia"/>
          <w:color w:val="auto"/>
          <w:highlight w:val="none"/>
        </w:rPr>
        <w:t xml:space="preserve">  对于模块化箱模或模块化剪力墙结构，其基础连接形式与常规框架、剪力墙结构基本无区别；对于模块化框架结构中，首层框架式模块与基础的连接应做到安全、可靠、快速施工等要求，并应验算预埋件的抗拉、抗剪性能，采用套筒灌浆或浆锚搭接时，应满足相关规范的连接要求。</w:t>
      </w:r>
    </w:p>
    <w:tbl>
      <w:tblPr>
        <w:tblStyle w:val="24"/>
        <w:tblW w:w="0" w:type="auto"/>
        <w:tblInd w:w="0" w:type="dxa"/>
        <w:tblLayout w:type="autofit"/>
        <w:tblCellMar>
          <w:top w:w="0" w:type="dxa"/>
          <w:left w:w="108" w:type="dxa"/>
          <w:bottom w:w="0" w:type="dxa"/>
          <w:right w:w="108" w:type="dxa"/>
        </w:tblCellMar>
      </w:tblPr>
      <w:tblGrid>
        <w:gridCol w:w="9232"/>
      </w:tblGrid>
      <w:tr>
        <w:tblPrEx>
          <w:tblCellMar>
            <w:top w:w="0" w:type="dxa"/>
            <w:left w:w="108" w:type="dxa"/>
            <w:bottom w:w="0" w:type="dxa"/>
            <w:right w:w="108" w:type="dxa"/>
          </w:tblCellMar>
        </w:tblPrEx>
        <w:trPr>
          <w:trHeight w:val="2363" w:hRule="atLeast"/>
        </w:trPr>
        <w:tc>
          <w:tcPr>
            <w:tcW w:w="9232" w:type="dxa"/>
            <w:vAlign w:val="center"/>
          </w:tcPr>
          <w:p>
            <w:pPr>
              <w:tabs>
                <w:tab w:val="left" w:pos="0"/>
              </w:tabs>
              <w:adjustRightInd w:val="0"/>
              <w:snapToGrid w:val="0"/>
              <w:jc w:val="center"/>
              <w:rPr>
                <w:rFonts w:eastAsia="楷体"/>
                <w:color w:val="auto"/>
                <w:highlight w:val="none"/>
              </w:rPr>
            </w:pPr>
            <w:r>
              <w:rPr>
                <w:color w:val="auto"/>
                <w:highlight w:val="none"/>
              </w:rPr>
              <w:drawing>
                <wp:inline distT="0" distB="0" distL="114300" distR="114300">
                  <wp:extent cx="2865120" cy="1440180"/>
                  <wp:effectExtent l="0" t="0" r="0" b="7620"/>
                  <wp:docPr id="11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5"/>
                          <pic:cNvPicPr>
                            <a:picLocks noChangeAspect="1"/>
                          </pic:cNvPicPr>
                        </pic:nvPicPr>
                        <pic:blipFill>
                          <a:blip r:embed="rId68"/>
                          <a:stretch>
                            <a:fillRect/>
                          </a:stretch>
                        </pic:blipFill>
                        <pic:spPr>
                          <a:xfrm>
                            <a:off x="0" y="0"/>
                            <a:ext cx="2865120" cy="1440180"/>
                          </a:xfrm>
                          <a:prstGeom prst="rect">
                            <a:avLst/>
                          </a:prstGeom>
                          <a:noFill/>
                          <a:ln>
                            <a:noFill/>
                          </a:ln>
                        </pic:spPr>
                      </pic:pic>
                    </a:graphicData>
                  </a:graphic>
                </wp:inline>
              </w:drawing>
            </w:r>
          </w:p>
        </w:tc>
      </w:tr>
    </w:tbl>
    <w:p>
      <w:pPr>
        <w:jc w:val="center"/>
        <w:rPr>
          <w:rFonts w:hint="eastAsia" w:ascii="宋体" w:hAnsi="宋体" w:cs="宋体"/>
          <w:color w:val="auto"/>
          <w:highlight w:val="none"/>
        </w:rPr>
      </w:pPr>
      <w:r>
        <w:rPr>
          <w:rFonts w:hint="eastAsia" w:ascii="宋体" w:hAnsi="宋体" w:cs="宋体"/>
          <w:color w:val="auto"/>
          <w:highlight w:val="none"/>
        </w:rPr>
        <w:t>图20  框架式模块与基础典型连接形式</w:t>
      </w:r>
    </w:p>
    <w:p>
      <w:pPr>
        <w:jc w:val="center"/>
        <w:rPr>
          <w:rFonts w:hint="eastAsia" w:ascii="宋体" w:hAnsi="宋体" w:cs="宋体"/>
          <w:color w:val="auto"/>
          <w:highlight w:val="none"/>
        </w:rPr>
      </w:pPr>
      <w:r>
        <w:rPr>
          <w:rFonts w:hint="eastAsia" w:ascii="宋体" w:hAnsi="宋体" w:cs="宋体"/>
          <w:color w:val="auto"/>
          <w:highlight w:val="none"/>
        </w:rPr>
        <w:t>1—垫片；2—螺杆；3—底部垫板；4—螺母；5—基础连接板；</w:t>
      </w:r>
    </w:p>
    <w:p>
      <w:pPr>
        <w:jc w:val="center"/>
        <w:rPr>
          <w:rFonts w:hint="eastAsia" w:ascii="宋体" w:hAnsi="宋体" w:cs="宋体"/>
          <w:color w:val="auto"/>
          <w:highlight w:val="none"/>
        </w:rPr>
      </w:pPr>
      <w:r>
        <w:rPr>
          <w:rFonts w:hint="eastAsia" w:ascii="宋体" w:hAnsi="宋体" w:cs="宋体"/>
          <w:color w:val="auto"/>
          <w:highlight w:val="none"/>
        </w:rPr>
        <w:t>6—基础；7—框架柱；8—灌浆套筒；</w:t>
      </w:r>
    </w:p>
    <w:p>
      <w:pPr>
        <w:rPr>
          <w:rFonts w:eastAsia="楷体"/>
          <w:color w:val="auto"/>
          <w:highlight w:val="none"/>
        </w:rPr>
        <w:sectPr>
          <w:pgSz w:w="11906" w:h="16838"/>
          <w:pgMar w:top="1610" w:right="1349" w:bottom="1213" w:left="1293" w:header="851" w:footer="992" w:gutter="0"/>
          <w:cols w:space="0" w:num="1"/>
          <w:docGrid w:type="lines" w:linePitch="312" w:charSpace="0"/>
        </w:sectPr>
      </w:pPr>
    </w:p>
    <w:p>
      <w:pPr>
        <w:pStyle w:val="2"/>
        <w:numPr>
          <w:ilvl w:val="255"/>
          <w:numId w:val="0"/>
        </w:numPr>
        <w:rPr>
          <w:b/>
          <w:bCs w:val="0"/>
          <w:color w:val="auto"/>
          <w:highlight w:val="none"/>
        </w:rPr>
      </w:pPr>
      <w:r>
        <w:rPr>
          <w:b/>
          <w:bCs w:val="0"/>
          <w:color w:val="auto"/>
          <w:highlight w:val="none"/>
        </w:rPr>
        <w:t>6</w:t>
      </w:r>
      <w:r>
        <w:rPr>
          <w:rFonts w:hint="eastAsia"/>
          <w:b/>
          <w:bCs w:val="0"/>
          <w:color w:val="auto"/>
          <w:highlight w:val="none"/>
        </w:rPr>
        <w:t xml:space="preserve"> 设备与管线设计</w:t>
      </w:r>
    </w:p>
    <w:p>
      <w:pPr>
        <w:keepNext/>
        <w:keepLines/>
        <w:numPr>
          <w:ilvl w:val="1"/>
          <w:numId w:val="0"/>
        </w:numPr>
        <w:autoSpaceDE w:val="0"/>
        <w:autoSpaceDN w:val="0"/>
        <w:spacing w:before="240" w:after="240"/>
        <w:jc w:val="center"/>
        <w:outlineLvl w:val="1"/>
        <w:rPr>
          <w:rFonts w:eastAsia="黑体"/>
          <w:bCs/>
          <w:color w:val="auto"/>
          <w:spacing w:val="20"/>
          <w:szCs w:val="21"/>
          <w:highlight w:val="none"/>
        </w:rPr>
      </w:pPr>
      <w:r>
        <w:rPr>
          <w:rFonts w:hint="eastAsia" w:eastAsia="Times New Roman"/>
          <w:b/>
          <w:bCs/>
          <w:color w:val="auto"/>
          <w:spacing w:val="20"/>
          <w:szCs w:val="21"/>
          <w:highlight w:val="none"/>
        </w:rPr>
        <w:t xml:space="preserve">6.1  </w:t>
      </w:r>
      <w:r>
        <w:rPr>
          <w:rFonts w:hint="eastAsia" w:eastAsia="黑体"/>
          <w:bCs/>
          <w:color w:val="auto"/>
          <w:spacing w:val="20"/>
          <w:szCs w:val="21"/>
          <w:highlight w:val="none"/>
        </w:rPr>
        <w:t>一般规定</w:t>
      </w:r>
    </w:p>
    <w:p>
      <w:pPr>
        <w:rPr>
          <w:color w:val="auto"/>
          <w:szCs w:val="21"/>
          <w:highlight w:val="none"/>
        </w:rPr>
      </w:pPr>
      <w:r>
        <w:rPr>
          <w:rFonts w:hint="eastAsia" w:eastAsia="Times New Roman"/>
          <w:b/>
          <w:color w:val="auto"/>
          <w:spacing w:val="28"/>
          <w:szCs w:val="21"/>
          <w:highlight w:val="none"/>
        </w:rPr>
        <w:t>6.1</w:t>
      </w:r>
      <w:r>
        <w:rPr>
          <w:rFonts w:eastAsia="Times New Roman"/>
          <w:b/>
          <w:color w:val="auto"/>
          <w:spacing w:val="28"/>
          <w:szCs w:val="21"/>
          <w:highlight w:val="none"/>
        </w:rPr>
        <w:t>.</w:t>
      </w:r>
      <w:r>
        <w:rPr>
          <w:rFonts w:hint="eastAsia" w:eastAsia="Times New Roman"/>
          <w:b/>
          <w:color w:val="auto"/>
          <w:spacing w:val="28"/>
          <w:szCs w:val="21"/>
          <w:highlight w:val="none"/>
        </w:rPr>
        <w:t>8</w:t>
      </w:r>
      <w:r>
        <w:rPr>
          <w:rFonts w:hint="eastAsia" w:eastAsia="Times New Roman"/>
          <w:b/>
          <w:color w:val="auto"/>
          <w:szCs w:val="21"/>
          <w:highlight w:val="none"/>
        </w:rPr>
        <w:t xml:space="preserve">  </w:t>
      </w:r>
      <w:r>
        <w:rPr>
          <w:rFonts w:hint="eastAsia"/>
          <w:color w:val="auto"/>
          <w:szCs w:val="21"/>
          <w:highlight w:val="none"/>
        </w:rPr>
        <w:t>在混凝土模块化建筑中，设备管线系统的布局应充分利用建筑信息模型技术。该技术的应用有助于精确地规划管线路径，优化管线布局，降低管线间的冲突，从而提升施工过程的效率。此外，建筑信息模型技术还能够提供管线系统的三维可视化展示，便于后期的维护管理以及故障诊断。</w:t>
      </w:r>
    </w:p>
    <w:p>
      <w:pPr>
        <w:keepNext/>
        <w:keepLines/>
        <w:numPr>
          <w:ilvl w:val="1"/>
          <w:numId w:val="0"/>
        </w:numPr>
        <w:autoSpaceDE w:val="0"/>
        <w:autoSpaceDN w:val="0"/>
        <w:spacing w:before="240" w:after="240"/>
        <w:jc w:val="center"/>
        <w:outlineLvl w:val="1"/>
        <w:rPr>
          <w:rFonts w:eastAsia="黑体"/>
          <w:bCs/>
          <w:color w:val="auto"/>
          <w:spacing w:val="20"/>
          <w:szCs w:val="21"/>
          <w:highlight w:val="none"/>
        </w:rPr>
      </w:pPr>
      <w:r>
        <w:rPr>
          <w:rFonts w:hint="eastAsia" w:eastAsia="Times New Roman"/>
          <w:b/>
          <w:bCs/>
          <w:color w:val="auto"/>
          <w:spacing w:val="20"/>
          <w:szCs w:val="21"/>
          <w:highlight w:val="none"/>
        </w:rPr>
        <w:t xml:space="preserve">6.2  </w:t>
      </w:r>
      <w:r>
        <w:rPr>
          <w:rFonts w:hint="eastAsia" w:eastAsia="黑体"/>
          <w:bCs/>
          <w:color w:val="auto"/>
          <w:spacing w:val="20"/>
          <w:szCs w:val="21"/>
          <w:highlight w:val="none"/>
        </w:rPr>
        <w:t>给水排水系统</w:t>
      </w:r>
    </w:p>
    <w:p>
      <w:pPr>
        <w:rPr>
          <w:color w:val="auto"/>
          <w:szCs w:val="21"/>
          <w:highlight w:val="none"/>
        </w:rPr>
      </w:pPr>
      <w:r>
        <w:rPr>
          <w:rFonts w:hint="eastAsia" w:eastAsia="Times New Roman"/>
          <w:b/>
          <w:color w:val="auto"/>
          <w:spacing w:val="28"/>
          <w:szCs w:val="21"/>
          <w:highlight w:val="none"/>
        </w:rPr>
        <w:t>6.2</w:t>
      </w:r>
      <w:r>
        <w:rPr>
          <w:rFonts w:eastAsia="Times New Roman"/>
          <w:b/>
          <w:color w:val="auto"/>
          <w:spacing w:val="28"/>
          <w:szCs w:val="21"/>
          <w:highlight w:val="none"/>
        </w:rPr>
        <w:t>.</w:t>
      </w:r>
      <w:r>
        <w:rPr>
          <w:rFonts w:hint="eastAsia" w:eastAsia="Times New Roman"/>
          <w:b/>
          <w:color w:val="auto"/>
          <w:spacing w:val="28"/>
          <w:szCs w:val="21"/>
          <w:highlight w:val="none"/>
        </w:rPr>
        <w:t>2</w:t>
      </w:r>
      <w:r>
        <w:rPr>
          <w:rFonts w:hint="eastAsia" w:eastAsia="Times New Roman"/>
          <w:b/>
          <w:color w:val="auto"/>
          <w:szCs w:val="21"/>
          <w:highlight w:val="none"/>
        </w:rPr>
        <w:t xml:space="preserve">  </w:t>
      </w:r>
      <w:r>
        <w:rPr>
          <w:rFonts w:hint="eastAsia"/>
          <w:color w:val="auto"/>
          <w:szCs w:val="21"/>
          <w:highlight w:val="none"/>
        </w:rPr>
        <w:t>为满足管道检修及模块单元之间管道接头的现场连接，吊顶内的阀门或管道接头处宜设计为可拆卸吊顶，当吊顶内有横梁时，可穿梁设置；当连接卫生器具给水支管必须在墙模上留槽设置时，墙模厚度不宜过薄，防止混凝土浇筑时出现墙模胀模或明显开裂，应结合墙体装饰层厚度确定开槽深度；现浇梁采用预制钢筋笼时，梁模上预留套管不应影响预制钢筋笼的安装，钢套管定位还要满足钢筋布置、间距等要求，同时，钢套管外径大小，也要考虑钢筋布置、间距等要求。</w:t>
      </w:r>
    </w:p>
    <w:p>
      <w:pPr>
        <w:rPr>
          <w:color w:val="auto"/>
          <w:highlight w:val="none"/>
        </w:rPr>
      </w:pPr>
      <w:r>
        <w:rPr>
          <w:rFonts w:hint="eastAsia" w:eastAsia="Times New Roman"/>
          <w:b/>
          <w:color w:val="auto"/>
          <w:spacing w:val="28"/>
          <w:szCs w:val="21"/>
          <w:highlight w:val="none"/>
        </w:rPr>
        <w:t>6.2</w:t>
      </w:r>
      <w:r>
        <w:rPr>
          <w:rFonts w:eastAsia="Times New Roman"/>
          <w:b/>
          <w:color w:val="auto"/>
          <w:spacing w:val="28"/>
          <w:szCs w:val="21"/>
          <w:highlight w:val="none"/>
        </w:rPr>
        <w:t>.</w:t>
      </w:r>
      <w:r>
        <w:rPr>
          <w:rFonts w:hint="eastAsia" w:eastAsia="Times New Roman"/>
          <w:b/>
          <w:color w:val="auto"/>
          <w:spacing w:val="28"/>
          <w:szCs w:val="21"/>
          <w:highlight w:val="none"/>
        </w:rPr>
        <w:t>3</w:t>
      </w:r>
      <w:r>
        <w:rPr>
          <w:rFonts w:hint="eastAsia" w:eastAsia="Times New Roman"/>
          <w:b/>
          <w:color w:val="auto"/>
          <w:szCs w:val="21"/>
          <w:highlight w:val="none"/>
        </w:rPr>
        <w:t xml:space="preserve">  </w:t>
      </w:r>
      <w:r>
        <w:rPr>
          <w:rFonts w:hint="eastAsia"/>
          <w:color w:val="auto"/>
          <w:szCs w:val="21"/>
          <w:highlight w:val="none"/>
        </w:rPr>
        <w:t>当采用新型连接配件时，应保证排水措施连接可靠；排水立管宜在外墙明敷，从而保证预留工厂预装排水横管与立管足够施工操作空间；当立管设置于室内时，应预留施工及检修空间；卫生间排水支管穿现浇剪力墙与外墙立管连接时，应在混凝土浇筑前将支管伸出外墙，并设置支管保护措施；当模块化建筑在层间空腔加设隔音垫时，隔音垫的设置应避开层间排水通道。</w:t>
      </w:r>
    </w:p>
    <w:p>
      <w:pPr>
        <w:keepNext/>
        <w:keepLines/>
        <w:spacing w:before="240" w:after="240"/>
        <w:ind w:firstLine="422"/>
        <w:jc w:val="center"/>
        <w:outlineLvl w:val="1"/>
        <w:rPr>
          <w:rFonts w:eastAsia="黑体"/>
          <w:b/>
          <w:color w:val="auto"/>
          <w:szCs w:val="32"/>
          <w:highlight w:val="none"/>
        </w:rPr>
      </w:pPr>
      <w:r>
        <w:rPr>
          <w:rFonts w:hint="eastAsia" w:eastAsia="黑体"/>
          <w:b/>
          <w:color w:val="auto"/>
          <w:szCs w:val="32"/>
          <w:highlight w:val="none"/>
        </w:rPr>
        <w:t xml:space="preserve">6.3  </w:t>
      </w:r>
      <w:r>
        <w:rPr>
          <w:rFonts w:hint="eastAsia" w:eastAsia="黑体"/>
          <w:bCs/>
          <w:color w:val="auto"/>
          <w:spacing w:val="20"/>
          <w:highlight w:val="none"/>
        </w:rPr>
        <w:t>供暖、通风、空调及燃气系统</w:t>
      </w:r>
    </w:p>
    <w:p>
      <w:pPr>
        <w:rPr>
          <w:rFonts w:hint="eastAsia" w:ascii="宋体" w:hAnsi="宋体" w:cs="宋体"/>
          <w:bCs/>
          <w:color w:val="auto"/>
          <w:szCs w:val="21"/>
          <w:highlight w:val="none"/>
        </w:rPr>
      </w:pPr>
      <w:r>
        <w:rPr>
          <w:rFonts w:hint="eastAsia" w:eastAsia="Times New Roman"/>
          <w:b/>
          <w:color w:val="auto"/>
          <w:spacing w:val="28"/>
          <w:szCs w:val="21"/>
          <w:highlight w:val="none"/>
        </w:rPr>
        <w:t>6.3.3</w:t>
      </w:r>
      <w:r>
        <w:rPr>
          <w:rFonts w:hint="eastAsia" w:eastAsia="Times New Roman"/>
          <w:b/>
          <w:color w:val="auto"/>
          <w:szCs w:val="21"/>
          <w:highlight w:val="none"/>
        </w:rPr>
        <w:t xml:space="preserve">  </w:t>
      </w:r>
      <w:r>
        <w:rPr>
          <w:rFonts w:hint="eastAsia" w:ascii="宋体" w:hAnsi="宋体" w:cs="宋体"/>
          <w:bCs/>
          <w:color w:val="auto"/>
          <w:szCs w:val="21"/>
          <w:highlight w:val="none"/>
        </w:rPr>
        <w:t>根据模块建筑装修集成的特点，供暖通风与空调设备的安装与管线敷设宜集成在模块单元内部并在工厂内完成，为方便维修与更换宜与主体结构分离，并应集中设置，减少平面交叉，便于施工。</w:t>
      </w:r>
    </w:p>
    <w:p>
      <w:pPr>
        <w:keepNext/>
        <w:keepLines/>
        <w:spacing w:before="240" w:after="240"/>
        <w:ind w:firstLine="422"/>
        <w:jc w:val="center"/>
        <w:outlineLvl w:val="1"/>
        <w:rPr>
          <w:color w:val="auto"/>
          <w:highlight w:val="none"/>
        </w:rPr>
      </w:pPr>
      <w:r>
        <w:rPr>
          <w:rFonts w:hint="eastAsia" w:eastAsia="黑体"/>
          <w:b/>
          <w:color w:val="auto"/>
          <w:szCs w:val="32"/>
          <w:highlight w:val="none"/>
        </w:rPr>
        <w:t>6.4</w:t>
      </w:r>
      <w:r>
        <w:rPr>
          <w:rFonts w:hint="eastAsia"/>
          <w:color w:val="auto"/>
          <w:highlight w:val="none"/>
        </w:rPr>
        <w:t xml:space="preserve">  </w:t>
      </w:r>
      <w:r>
        <w:rPr>
          <w:rFonts w:hint="eastAsia" w:eastAsia="黑体"/>
          <w:bCs/>
          <w:color w:val="auto"/>
          <w:spacing w:val="20"/>
          <w:highlight w:val="none"/>
        </w:rPr>
        <w:t>电气系统</w:t>
      </w:r>
    </w:p>
    <w:p>
      <w:pPr>
        <w:rPr>
          <w:color w:val="auto"/>
          <w:szCs w:val="21"/>
          <w:highlight w:val="none"/>
        </w:rPr>
      </w:pPr>
      <w:r>
        <w:rPr>
          <w:rFonts w:hint="eastAsia" w:eastAsia="Times New Roman"/>
          <w:b/>
          <w:color w:val="auto"/>
          <w:spacing w:val="28"/>
          <w:szCs w:val="21"/>
          <w:highlight w:val="none"/>
        </w:rPr>
        <w:t>6.4.2</w:t>
      </w:r>
      <w:r>
        <w:rPr>
          <w:rFonts w:hint="eastAsia" w:eastAsia="Times New Roman"/>
          <w:b/>
          <w:color w:val="auto"/>
          <w:szCs w:val="21"/>
          <w:highlight w:val="none"/>
        </w:rPr>
        <w:t xml:space="preserve">  </w:t>
      </w:r>
      <w:r>
        <w:rPr>
          <w:rFonts w:hint="eastAsia"/>
          <w:color w:val="auto"/>
          <w:szCs w:val="21"/>
          <w:highlight w:val="none"/>
        </w:rPr>
        <w:t>混凝土模块化建筑拼装时，为了保证管线安装对接方便，会留一定安装冗余的土建孔洞。为减少模块单元拼装完成后孔洞现场封堵工作量，需将电气和弱电智能化的土建预留接口集中设置。</w:t>
      </w:r>
    </w:p>
    <w:p>
      <w:pPr>
        <w:rPr>
          <w:color w:val="auto"/>
          <w:szCs w:val="21"/>
          <w:highlight w:val="none"/>
        </w:rPr>
        <w:sectPr>
          <w:pgSz w:w="11906" w:h="16838"/>
          <w:pgMar w:top="1610" w:right="1349" w:bottom="1213" w:left="1293" w:header="851" w:footer="992" w:gutter="0"/>
          <w:cols w:space="0" w:num="1"/>
          <w:docGrid w:type="lines" w:linePitch="312" w:charSpace="0"/>
        </w:sectPr>
      </w:pPr>
    </w:p>
    <w:p>
      <w:pPr>
        <w:pStyle w:val="2"/>
        <w:ind w:left="431"/>
        <w:rPr>
          <w:rFonts w:ascii="Times New Roman Bold" w:hAnsi="Times New Roman Bold" w:cs="Times New Roman Bold"/>
          <w:b/>
          <w:bCs/>
          <w:color w:val="auto"/>
          <w:highlight w:val="none"/>
        </w:rPr>
      </w:pPr>
      <w:r>
        <w:rPr>
          <w:rFonts w:eastAsia="Times New Roman"/>
          <w:b/>
          <w:color w:val="auto"/>
          <w:spacing w:val="60"/>
          <w:szCs w:val="28"/>
          <w:highlight w:val="none"/>
        </w:rPr>
        <w:t>7</w:t>
      </w:r>
      <w:r>
        <w:rPr>
          <w:rFonts w:hint="eastAsia" w:eastAsia="Times New Roman"/>
          <w:b/>
          <w:color w:val="auto"/>
          <w:spacing w:val="60"/>
          <w:szCs w:val="28"/>
          <w:highlight w:val="none"/>
        </w:rPr>
        <w:t xml:space="preserve"> </w:t>
      </w:r>
      <w:r>
        <w:rPr>
          <w:rFonts w:hint="eastAsia"/>
          <w:b/>
          <w:color w:val="auto"/>
          <w:highlight w:val="none"/>
        </w:rPr>
        <w:t>内装设计</w:t>
      </w:r>
    </w:p>
    <w:p>
      <w:pPr>
        <w:pStyle w:val="4"/>
        <w:numPr>
          <w:ilvl w:val="1"/>
          <w:numId w:val="0"/>
        </w:numPr>
        <w:rPr>
          <w:rFonts w:hint="eastAsia" w:ascii="黑体" w:hAnsi="黑体" w:cs="黑体"/>
          <w:color w:val="auto"/>
          <w:highlight w:val="none"/>
        </w:rPr>
      </w:pPr>
      <w:r>
        <w:rPr>
          <w:rFonts w:ascii="Times New Roman Bold" w:hAnsi="Times New Roman Bold" w:eastAsia="宋体" w:cs="Times New Roman Bold"/>
          <w:b/>
          <w:bCs w:val="0"/>
          <w:color w:val="auto"/>
          <w:highlight w:val="none"/>
        </w:rPr>
        <w:t>7.1</w:t>
      </w:r>
      <w:r>
        <w:rPr>
          <w:rFonts w:hint="eastAsia" w:ascii="黑体" w:hAnsi="黑体" w:cs="黑体"/>
          <w:color w:val="auto"/>
          <w:highlight w:val="none"/>
        </w:rPr>
        <w:t xml:space="preserve">  一般规定</w:t>
      </w:r>
    </w:p>
    <w:p>
      <w:pPr>
        <w:rPr>
          <w:color w:val="auto"/>
          <w:highlight w:val="none"/>
        </w:rPr>
      </w:pPr>
      <w:r>
        <w:rPr>
          <w:rFonts w:hint="eastAsia" w:eastAsia="Times New Roman"/>
          <w:b/>
          <w:color w:val="auto"/>
          <w:spacing w:val="28"/>
          <w:szCs w:val="21"/>
          <w:highlight w:val="none"/>
        </w:rPr>
        <w:t>7.1.2</w:t>
      </w:r>
      <w:r>
        <w:rPr>
          <w:rFonts w:hint="eastAsia"/>
          <w:color w:val="auto"/>
          <w:highlight w:val="none"/>
        </w:rPr>
        <w:t xml:space="preserve">  室内装饰装修中所使用的木地板及其他木质材料，严禁采用沥青、煤焦油类防腐、防潮处理剂。室内装饰装修时，严禁使用苯、工业苯、石油苯、重质苯及混苯等含苯稀释剂和溶剂。</w:t>
      </w:r>
    </w:p>
    <w:p>
      <w:pPr>
        <w:pStyle w:val="4"/>
        <w:numPr>
          <w:ilvl w:val="1"/>
          <w:numId w:val="0"/>
        </w:numPr>
        <w:rPr>
          <w:rFonts w:hint="eastAsia" w:ascii="黑体" w:hAnsi="黑体" w:cs="黑体"/>
          <w:color w:val="auto"/>
          <w:highlight w:val="none"/>
        </w:rPr>
      </w:pPr>
      <w:r>
        <w:rPr>
          <w:rFonts w:hint="eastAsia" w:ascii="Times New Roman Bold" w:hAnsi="Times New Roman Bold" w:eastAsia="宋体" w:cs="Times New Roman Bold"/>
          <w:b/>
          <w:bCs w:val="0"/>
          <w:color w:val="auto"/>
          <w:highlight w:val="none"/>
        </w:rPr>
        <w:t>7.2</w:t>
      </w:r>
      <w:r>
        <w:rPr>
          <w:rFonts w:hint="eastAsia" w:ascii="黑体" w:hAnsi="黑体" w:cs="黑体"/>
          <w:color w:val="auto"/>
          <w:highlight w:val="none"/>
        </w:rPr>
        <w:t xml:space="preserve">  内装系统</w:t>
      </w:r>
    </w:p>
    <w:p>
      <w:pPr>
        <w:rPr>
          <w:color w:val="auto"/>
          <w:highlight w:val="none"/>
        </w:rPr>
      </w:pPr>
      <w:r>
        <w:rPr>
          <w:rFonts w:hint="eastAsia" w:eastAsia="Times New Roman"/>
          <w:b/>
          <w:color w:val="auto"/>
          <w:spacing w:val="28"/>
          <w:szCs w:val="21"/>
          <w:highlight w:val="none"/>
        </w:rPr>
        <w:t>7.2.2</w:t>
      </w:r>
      <w:r>
        <w:rPr>
          <w:rFonts w:hint="eastAsia"/>
          <w:color w:val="auto"/>
          <w:highlight w:val="none"/>
        </w:rPr>
        <w:t xml:space="preserve">  室内净高需结合功能需求、规范要求及地方标准综合确定，重点区域（如住宅、公共空间）应严格达标，特殊场景可通过设计优化或专项论证灵活处理。</w:t>
      </w:r>
    </w:p>
    <w:p>
      <w:pPr>
        <w:rPr>
          <w:rFonts w:hint="eastAsia" w:asciiTheme="majorEastAsia" w:hAnsiTheme="majorEastAsia" w:eastAsiaTheme="majorEastAsia" w:cstheme="majorEastAsia"/>
          <w:color w:val="auto"/>
          <w:highlight w:val="none"/>
        </w:rPr>
        <w:sectPr>
          <w:pgSz w:w="11906" w:h="16838"/>
          <w:pgMar w:top="1610" w:right="1349" w:bottom="1213" w:left="1293" w:header="851" w:footer="992" w:gutter="0"/>
          <w:cols w:space="0" w:num="1"/>
          <w:docGrid w:type="lines" w:linePitch="312" w:charSpace="0"/>
        </w:sectPr>
      </w:pPr>
    </w:p>
    <w:p>
      <w:pPr>
        <w:pStyle w:val="2"/>
        <w:numPr>
          <w:ilvl w:val="255"/>
          <w:numId w:val="0"/>
        </w:numPr>
        <w:rPr>
          <w:b/>
          <w:bCs w:val="0"/>
          <w:color w:val="auto"/>
          <w:highlight w:val="none"/>
        </w:rPr>
      </w:pPr>
      <w:r>
        <w:rPr>
          <w:b/>
          <w:bCs w:val="0"/>
          <w:color w:val="auto"/>
          <w:highlight w:val="none"/>
        </w:rPr>
        <w:t>8</w:t>
      </w:r>
      <w:r>
        <w:rPr>
          <w:rFonts w:hint="eastAsia"/>
          <w:b/>
          <w:bCs w:val="0"/>
          <w:color w:val="auto"/>
          <w:highlight w:val="none"/>
        </w:rPr>
        <w:t xml:space="preserve"> 制造与运输</w:t>
      </w:r>
    </w:p>
    <w:p>
      <w:pPr>
        <w:pStyle w:val="4"/>
        <w:numPr>
          <w:ilvl w:val="1"/>
          <w:numId w:val="0"/>
        </w:numPr>
        <w:rPr>
          <w:color w:val="auto"/>
          <w:szCs w:val="21"/>
          <w:highlight w:val="none"/>
        </w:rPr>
      </w:pPr>
      <w:r>
        <w:rPr>
          <w:rFonts w:eastAsia="Times New Roman"/>
          <w:b/>
          <w:color w:val="auto"/>
          <w:spacing w:val="20"/>
          <w:szCs w:val="21"/>
          <w:highlight w:val="none"/>
        </w:rPr>
        <w:t>8.</w:t>
      </w:r>
      <w:r>
        <w:rPr>
          <w:rFonts w:hint="eastAsia" w:eastAsia="Times New Roman"/>
          <w:b/>
          <w:color w:val="auto"/>
          <w:spacing w:val="20"/>
          <w:szCs w:val="21"/>
          <w:highlight w:val="none"/>
        </w:rPr>
        <w:t xml:space="preserve">1  </w:t>
      </w:r>
      <w:r>
        <w:rPr>
          <w:rFonts w:hint="eastAsia"/>
          <w:color w:val="auto"/>
          <w:highlight w:val="none"/>
        </w:rPr>
        <w:t>一般规定</w:t>
      </w:r>
    </w:p>
    <w:p>
      <w:pPr>
        <w:rPr>
          <w:color w:val="auto"/>
          <w:highlight w:val="none"/>
        </w:rPr>
      </w:pPr>
      <w:r>
        <w:rPr>
          <w:rFonts w:eastAsia="Times New Roman"/>
          <w:b/>
          <w:color w:val="auto"/>
          <w:spacing w:val="28"/>
          <w:szCs w:val="21"/>
          <w:highlight w:val="none"/>
        </w:rPr>
        <w:t>8.</w:t>
      </w:r>
      <w:r>
        <w:rPr>
          <w:rFonts w:hint="eastAsia" w:eastAsia="Times New Roman"/>
          <w:b/>
          <w:color w:val="auto"/>
          <w:spacing w:val="28"/>
          <w:szCs w:val="21"/>
          <w:highlight w:val="none"/>
        </w:rPr>
        <w:t>1.2</w:t>
      </w:r>
      <w:r>
        <w:rPr>
          <w:rFonts w:hint="eastAsia" w:eastAsia="Times New Roman"/>
          <w:b/>
          <w:color w:val="auto"/>
          <w:szCs w:val="21"/>
          <w:highlight w:val="none"/>
        </w:rPr>
        <w:t xml:space="preserve">  </w:t>
      </w:r>
      <w:r>
        <w:rPr>
          <w:rFonts w:hint="eastAsia"/>
          <w:color w:val="auto"/>
          <w:highlight w:val="none"/>
        </w:rPr>
        <w:t>制造工艺书应包括：施工中所依据的标准，制造厂的质量保证体系，成品的质量保证和为保证成品达到规定的要求而制订的措施，采用的加工、焊接设备和工艺装备，焊工和检查人员的资质证明，各类检查项目表格和生产进度计算表。</w:t>
      </w:r>
    </w:p>
    <w:p>
      <w:pPr>
        <w:pStyle w:val="4"/>
        <w:numPr>
          <w:ilvl w:val="1"/>
          <w:numId w:val="0"/>
        </w:numPr>
        <w:rPr>
          <w:color w:val="auto"/>
          <w:szCs w:val="21"/>
          <w:highlight w:val="none"/>
        </w:rPr>
      </w:pPr>
      <w:r>
        <w:rPr>
          <w:rFonts w:eastAsia="Times New Roman"/>
          <w:b/>
          <w:color w:val="auto"/>
          <w:spacing w:val="20"/>
          <w:szCs w:val="21"/>
          <w:highlight w:val="none"/>
        </w:rPr>
        <w:t>8.</w:t>
      </w:r>
      <w:r>
        <w:rPr>
          <w:rFonts w:hint="eastAsia" w:eastAsia="Times New Roman"/>
          <w:b/>
          <w:color w:val="auto"/>
          <w:spacing w:val="20"/>
          <w:szCs w:val="21"/>
          <w:highlight w:val="none"/>
        </w:rPr>
        <w:t xml:space="preserve">3  </w:t>
      </w:r>
      <w:r>
        <w:rPr>
          <w:rFonts w:hint="eastAsia"/>
          <w:color w:val="auto"/>
          <w:szCs w:val="21"/>
          <w:highlight w:val="none"/>
        </w:rPr>
        <w:t>成型、养护及脱模</w:t>
      </w:r>
    </w:p>
    <w:p>
      <w:pPr>
        <w:rPr>
          <w:color w:val="auto"/>
          <w:highlight w:val="none"/>
        </w:rPr>
      </w:pPr>
      <w:r>
        <w:rPr>
          <w:rFonts w:eastAsia="Times New Roman"/>
          <w:b/>
          <w:color w:val="auto"/>
          <w:spacing w:val="28"/>
          <w:szCs w:val="21"/>
          <w:highlight w:val="none"/>
        </w:rPr>
        <w:t>8.</w:t>
      </w:r>
      <w:r>
        <w:rPr>
          <w:rFonts w:hint="eastAsia" w:eastAsia="Times New Roman"/>
          <w:b/>
          <w:color w:val="auto"/>
          <w:spacing w:val="28"/>
          <w:szCs w:val="21"/>
          <w:highlight w:val="none"/>
        </w:rPr>
        <w:t>3.4</w:t>
      </w:r>
      <w:r>
        <w:rPr>
          <w:rFonts w:hint="eastAsia" w:eastAsia="Times New Roman"/>
          <w:b/>
          <w:color w:val="auto"/>
          <w:szCs w:val="21"/>
          <w:highlight w:val="none"/>
        </w:rPr>
        <w:t xml:space="preserve">  </w:t>
      </w:r>
      <w:r>
        <w:rPr>
          <w:rFonts w:hint="eastAsia"/>
          <w:color w:val="auto"/>
          <w:highlight w:val="none"/>
        </w:rPr>
        <w:t>混凝土模块单元是一个空间多面体，现有的模具制作工艺及混凝土施工方法难以实现模块一次浇筑成型，因此往往需要将模块单元拆分为多个预制构件分别预制，最后再组合成完整的模块单元。对模块单元进行预制拆分时，需考虑模块的形状、规格、混凝土强度等级、钢材等因素的影响。</w:t>
      </w:r>
    </w:p>
    <w:p>
      <w:pPr>
        <w:rPr>
          <w:color w:val="auto"/>
          <w:highlight w:val="none"/>
        </w:rPr>
      </w:pPr>
      <w:r>
        <w:rPr>
          <w:rFonts w:eastAsia="Times New Roman"/>
          <w:b/>
          <w:color w:val="auto"/>
          <w:spacing w:val="28"/>
          <w:highlight w:val="none"/>
        </w:rPr>
        <w:t>8.</w:t>
      </w:r>
      <w:r>
        <w:rPr>
          <w:rFonts w:hint="eastAsia" w:eastAsia="Times New Roman"/>
          <w:b/>
          <w:color w:val="auto"/>
          <w:spacing w:val="28"/>
          <w:highlight w:val="none"/>
        </w:rPr>
        <w:t>3.6</w:t>
      </w:r>
      <w:r>
        <w:rPr>
          <w:rFonts w:hint="eastAsia" w:eastAsia="Times New Roman"/>
          <w:b/>
          <w:color w:val="auto"/>
          <w:szCs w:val="21"/>
          <w:highlight w:val="none"/>
        </w:rPr>
        <w:t xml:space="preserve">  </w:t>
      </w:r>
      <w:r>
        <w:rPr>
          <w:color w:val="auto"/>
          <w:highlight w:val="none"/>
        </w:rPr>
        <w:t>在粗糙面的处理中，高压水与洗水面的夹角宜为45度，枪头距离洗水面0.8m~1m，露出石粒深度5mm~8mm左右并且不松动；对于不便涂缓凝剂和拉毛方式的粗糙面，建议使用喷砂工艺处理。</w:t>
      </w:r>
    </w:p>
    <w:p>
      <w:pPr>
        <w:pStyle w:val="4"/>
        <w:numPr>
          <w:ilvl w:val="1"/>
          <w:numId w:val="0"/>
        </w:numPr>
        <w:rPr>
          <w:color w:val="auto"/>
          <w:szCs w:val="21"/>
          <w:highlight w:val="none"/>
        </w:rPr>
      </w:pPr>
      <w:r>
        <w:rPr>
          <w:rFonts w:eastAsia="Times New Roman"/>
          <w:b/>
          <w:color w:val="auto"/>
          <w:spacing w:val="20"/>
          <w:szCs w:val="21"/>
          <w:highlight w:val="none"/>
        </w:rPr>
        <w:t>8.5</w:t>
      </w:r>
      <w:r>
        <w:rPr>
          <w:rFonts w:hint="eastAsia" w:eastAsia="Times New Roman"/>
          <w:b/>
          <w:color w:val="auto"/>
          <w:spacing w:val="20"/>
          <w:szCs w:val="21"/>
          <w:highlight w:val="none"/>
        </w:rPr>
        <w:t xml:space="preserve">  </w:t>
      </w:r>
      <w:r>
        <w:rPr>
          <w:rFonts w:hint="eastAsia"/>
          <w:color w:val="auto"/>
          <w:szCs w:val="21"/>
          <w:highlight w:val="none"/>
        </w:rPr>
        <w:t>出厂检验及资料交付</w:t>
      </w:r>
    </w:p>
    <w:p>
      <w:pPr>
        <w:rPr>
          <w:color w:val="auto"/>
          <w:highlight w:val="none"/>
        </w:rPr>
      </w:pPr>
      <w:r>
        <w:rPr>
          <w:rFonts w:eastAsia="Times New Roman"/>
          <w:b/>
          <w:color w:val="auto"/>
          <w:spacing w:val="28"/>
          <w:szCs w:val="21"/>
          <w:highlight w:val="none"/>
        </w:rPr>
        <w:t>8.5.1</w:t>
      </w:r>
      <w:r>
        <w:rPr>
          <w:rFonts w:hint="eastAsia" w:eastAsia="Times New Roman"/>
          <w:b/>
          <w:color w:val="auto"/>
          <w:szCs w:val="21"/>
          <w:highlight w:val="none"/>
        </w:rPr>
        <w:t xml:space="preserve">  </w:t>
      </w:r>
      <w:r>
        <w:rPr>
          <w:rFonts w:hint="eastAsia"/>
          <w:color w:val="auto"/>
          <w:highlight w:val="none"/>
        </w:rPr>
        <w:t>模块单元在出厂时需对外观质量、装修质量、吊装性能、防水性能、使用功能及制造过程资料进行检查，对于模块单元制造尺寸、装饰构件尺寸等，通过制造过程中的质量控制，出厂时采用抽检的方式进行检验。</w:t>
      </w:r>
    </w:p>
    <w:p>
      <w:pPr>
        <w:rPr>
          <w:color w:val="auto"/>
          <w:highlight w:val="none"/>
        </w:rPr>
      </w:pPr>
      <w:r>
        <w:rPr>
          <w:rFonts w:eastAsia="Times New Roman"/>
          <w:b/>
          <w:color w:val="auto"/>
          <w:spacing w:val="28"/>
          <w:szCs w:val="21"/>
          <w:highlight w:val="none"/>
        </w:rPr>
        <w:t>8.5.</w:t>
      </w:r>
      <w:r>
        <w:rPr>
          <w:rFonts w:hint="eastAsia" w:eastAsia="Times New Roman"/>
          <w:b/>
          <w:color w:val="auto"/>
          <w:spacing w:val="28"/>
          <w:szCs w:val="21"/>
          <w:highlight w:val="none"/>
        </w:rPr>
        <w:t>3</w:t>
      </w:r>
      <w:r>
        <w:rPr>
          <w:rFonts w:hint="eastAsia" w:eastAsia="Times New Roman"/>
          <w:b/>
          <w:color w:val="auto"/>
          <w:szCs w:val="21"/>
          <w:highlight w:val="none"/>
        </w:rPr>
        <w:t xml:space="preserve">  </w:t>
      </w:r>
      <w:r>
        <w:rPr>
          <w:rFonts w:hint="eastAsia"/>
          <w:color w:val="auto"/>
          <w:highlight w:val="none"/>
        </w:rPr>
        <w:t>模块单元不应有影响结构性能、安装和使用功能的尺寸偏差。对超过尺寸允许偏差且影响结构性能和安装、使用功能的部位应制定技术处理方案进行处理，并重新检查验收。</w:t>
      </w:r>
    </w:p>
    <w:p>
      <w:pPr>
        <w:rPr>
          <w:color w:val="auto"/>
          <w:highlight w:val="none"/>
        </w:rPr>
      </w:pPr>
      <w:r>
        <w:rPr>
          <w:rFonts w:eastAsia="Times New Roman"/>
          <w:b/>
          <w:color w:val="auto"/>
          <w:spacing w:val="28"/>
          <w:szCs w:val="21"/>
          <w:highlight w:val="none"/>
        </w:rPr>
        <w:t>8.5.1</w:t>
      </w:r>
      <w:r>
        <w:rPr>
          <w:rFonts w:hint="eastAsia" w:eastAsia="Times New Roman"/>
          <w:b/>
          <w:color w:val="auto"/>
          <w:spacing w:val="28"/>
          <w:szCs w:val="21"/>
          <w:highlight w:val="none"/>
        </w:rPr>
        <w:t>3</w:t>
      </w:r>
      <w:r>
        <w:rPr>
          <w:rFonts w:hint="eastAsia" w:eastAsia="Times New Roman"/>
          <w:b/>
          <w:color w:val="auto"/>
          <w:szCs w:val="21"/>
          <w:highlight w:val="none"/>
        </w:rPr>
        <w:t xml:space="preserve">  </w:t>
      </w:r>
      <w:r>
        <w:rPr>
          <w:rFonts w:hint="eastAsia"/>
          <w:color w:val="auto"/>
          <w:highlight w:val="none"/>
        </w:rPr>
        <w:t>模块单元在出厂前应对吊装性能进行测试，吊具的选用与设计需符合本导则的有关规定，吊装设备的选用需满足设计要求。在吊装测试中，吊环、吊架等吊具及模块单元均不应出现明显变形，混凝土不应出现明显裂缝，保证模块单元具有足够的刚度和强度满足现场施工作业的要求。</w:t>
      </w:r>
    </w:p>
    <w:p>
      <w:pPr>
        <w:rPr>
          <w:color w:val="auto"/>
          <w:highlight w:val="none"/>
        </w:rPr>
      </w:pPr>
      <w:r>
        <w:rPr>
          <w:rFonts w:eastAsia="Times New Roman"/>
          <w:b/>
          <w:color w:val="auto"/>
          <w:spacing w:val="28"/>
          <w:szCs w:val="21"/>
          <w:highlight w:val="none"/>
        </w:rPr>
        <w:t>8.5.</w:t>
      </w:r>
      <w:r>
        <w:rPr>
          <w:rFonts w:hint="eastAsia" w:eastAsia="Times New Roman"/>
          <w:b/>
          <w:color w:val="auto"/>
          <w:spacing w:val="28"/>
          <w:szCs w:val="21"/>
          <w:highlight w:val="none"/>
        </w:rPr>
        <w:t>14</w:t>
      </w:r>
      <w:r>
        <w:rPr>
          <w:rFonts w:hint="eastAsia" w:eastAsia="Times New Roman"/>
          <w:b/>
          <w:color w:val="auto"/>
          <w:szCs w:val="21"/>
          <w:highlight w:val="none"/>
        </w:rPr>
        <w:t xml:space="preserve">  </w:t>
      </w:r>
      <w:r>
        <w:rPr>
          <w:rFonts w:hint="eastAsia"/>
          <w:color w:val="auto"/>
          <w:highlight w:val="none"/>
        </w:rPr>
        <w:t>模块化建筑具有高度集成的特点，卫生间及厨房等房间的防水层及饰面层均在工厂完成施工。根据相关规范对室内厕浴间楼地面防水层和饰面层完成后的蓄水试验要求，其防水层的蓄水试验在工厂进行，其饰面层的蓄水试验在模块安装后进行。</w:t>
      </w:r>
    </w:p>
    <w:p>
      <w:pPr>
        <w:pStyle w:val="4"/>
        <w:numPr>
          <w:ilvl w:val="1"/>
          <w:numId w:val="0"/>
        </w:numPr>
        <w:rPr>
          <w:color w:val="auto"/>
          <w:szCs w:val="21"/>
          <w:highlight w:val="none"/>
        </w:rPr>
      </w:pPr>
      <w:r>
        <w:rPr>
          <w:rFonts w:eastAsia="Times New Roman"/>
          <w:b/>
          <w:color w:val="auto"/>
          <w:spacing w:val="20"/>
          <w:szCs w:val="21"/>
          <w:highlight w:val="none"/>
        </w:rPr>
        <w:t>8.</w:t>
      </w:r>
      <w:r>
        <w:rPr>
          <w:rFonts w:hint="eastAsia" w:eastAsia="Times New Roman"/>
          <w:b/>
          <w:color w:val="auto"/>
          <w:spacing w:val="20"/>
          <w:szCs w:val="21"/>
          <w:highlight w:val="none"/>
        </w:rPr>
        <w:t xml:space="preserve">6  </w:t>
      </w:r>
      <w:r>
        <w:rPr>
          <w:rFonts w:hint="eastAsia"/>
          <w:color w:val="auto"/>
          <w:highlight w:val="none"/>
        </w:rPr>
        <w:t>吊装、运输、存放及防护</w:t>
      </w:r>
    </w:p>
    <w:p>
      <w:pPr>
        <w:rPr>
          <w:color w:val="auto"/>
          <w:highlight w:val="none"/>
        </w:rPr>
      </w:pPr>
      <w:r>
        <w:rPr>
          <w:rFonts w:eastAsia="Times New Roman"/>
          <w:b/>
          <w:color w:val="auto"/>
          <w:spacing w:val="28"/>
          <w:szCs w:val="21"/>
          <w:highlight w:val="none"/>
        </w:rPr>
        <w:t>8.</w:t>
      </w:r>
      <w:r>
        <w:rPr>
          <w:rFonts w:hint="eastAsia" w:eastAsia="Times New Roman"/>
          <w:b/>
          <w:color w:val="auto"/>
          <w:spacing w:val="28"/>
          <w:szCs w:val="21"/>
          <w:highlight w:val="none"/>
        </w:rPr>
        <w:t>6</w:t>
      </w:r>
      <w:r>
        <w:rPr>
          <w:rFonts w:eastAsia="Times New Roman"/>
          <w:b/>
          <w:color w:val="auto"/>
          <w:spacing w:val="28"/>
          <w:szCs w:val="21"/>
          <w:highlight w:val="none"/>
        </w:rPr>
        <w:t>.1</w:t>
      </w:r>
      <w:r>
        <w:rPr>
          <w:rFonts w:hint="eastAsia" w:eastAsia="Times New Roman"/>
          <w:b/>
          <w:color w:val="auto"/>
          <w:szCs w:val="21"/>
          <w:highlight w:val="none"/>
        </w:rPr>
        <w:t xml:space="preserve">  </w:t>
      </w:r>
      <w:r>
        <w:rPr>
          <w:rFonts w:hint="eastAsia"/>
          <w:color w:val="auto"/>
          <w:highlight w:val="none"/>
        </w:rPr>
        <w:t>模块单元在运输前应采取防水防潮防污的措施，应对预留管线的孔洞进行临时封堵；应及时完成接缝等位置的防水处理；模块单元顶部、门窗、洞口处宜设置防雨布。</w:t>
      </w:r>
    </w:p>
    <w:p>
      <w:pPr>
        <w:rPr>
          <w:color w:val="auto"/>
          <w:highlight w:val="none"/>
        </w:rPr>
        <w:sectPr>
          <w:pgSz w:w="11906" w:h="16838"/>
          <w:pgMar w:top="1610" w:right="1349" w:bottom="1213" w:left="1293" w:header="851" w:footer="992" w:gutter="0"/>
          <w:cols w:space="0" w:num="1"/>
          <w:docGrid w:type="lines" w:linePitch="312" w:charSpace="0"/>
        </w:sectPr>
      </w:pPr>
    </w:p>
    <w:p>
      <w:pPr>
        <w:pStyle w:val="2"/>
        <w:numPr>
          <w:ilvl w:val="255"/>
          <w:numId w:val="0"/>
        </w:numPr>
        <w:rPr>
          <w:b/>
          <w:bCs w:val="0"/>
          <w:color w:val="auto"/>
          <w:highlight w:val="none"/>
        </w:rPr>
      </w:pPr>
      <w:r>
        <w:rPr>
          <w:b/>
          <w:bCs w:val="0"/>
          <w:color w:val="auto"/>
          <w:highlight w:val="none"/>
        </w:rPr>
        <w:t>9</w:t>
      </w:r>
      <w:r>
        <w:rPr>
          <w:rFonts w:hint="eastAsia"/>
          <w:b/>
          <w:bCs w:val="0"/>
          <w:color w:val="auto"/>
          <w:highlight w:val="none"/>
        </w:rPr>
        <w:t xml:space="preserve"> 安装与连接</w:t>
      </w:r>
    </w:p>
    <w:p>
      <w:pPr>
        <w:pStyle w:val="4"/>
        <w:numPr>
          <w:ilvl w:val="1"/>
          <w:numId w:val="0"/>
        </w:numPr>
        <w:rPr>
          <w:color w:val="auto"/>
          <w:highlight w:val="none"/>
        </w:rPr>
      </w:pPr>
      <w:r>
        <w:rPr>
          <w:rFonts w:eastAsia="Times New Roman"/>
          <w:b/>
          <w:color w:val="auto"/>
          <w:spacing w:val="20"/>
          <w:szCs w:val="21"/>
          <w:highlight w:val="none"/>
        </w:rPr>
        <w:t>9.1</w:t>
      </w:r>
      <w:r>
        <w:rPr>
          <w:rFonts w:hint="eastAsia" w:eastAsia="Times New Roman"/>
          <w:b/>
          <w:color w:val="auto"/>
          <w:spacing w:val="20"/>
          <w:szCs w:val="21"/>
          <w:highlight w:val="none"/>
        </w:rPr>
        <w:t xml:space="preserve">  </w:t>
      </w:r>
      <w:r>
        <w:rPr>
          <w:rFonts w:hint="eastAsia"/>
          <w:color w:val="auto"/>
          <w:highlight w:val="none"/>
        </w:rPr>
        <w:t>一般规定</w:t>
      </w:r>
    </w:p>
    <w:p>
      <w:pPr>
        <w:rPr>
          <w:color w:val="auto"/>
          <w:szCs w:val="21"/>
          <w:highlight w:val="none"/>
        </w:rPr>
      </w:pPr>
      <w:r>
        <w:rPr>
          <w:rFonts w:eastAsia="Times New Roman"/>
          <w:b/>
          <w:color w:val="auto"/>
          <w:spacing w:val="28"/>
          <w:szCs w:val="21"/>
          <w:highlight w:val="none"/>
        </w:rPr>
        <w:t>9.1.1</w:t>
      </w:r>
      <w:r>
        <w:rPr>
          <w:rFonts w:hint="eastAsia"/>
          <w:color w:val="auto"/>
          <w:highlight w:val="none"/>
        </w:rPr>
        <w:t xml:space="preserve">  </w:t>
      </w:r>
      <w:r>
        <w:rPr>
          <w:rFonts w:hint="eastAsia"/>
          <w:color w:val="auto"/>
          <w:szCs w:val="21"/>
          <w:highlight w:val="none"/>
        </w:rPr>
        <w:t>混凝土模块化建筑的箱体重量通常在20吨左右。由于其尺寸较常规吊装物品更为庞大，且必须依赖起重设备进行安装，因此存在一定的安全风险。混凝土模块化建筑的施工必须制定专项施工方案，并按相关要求进行审核。若箱体重量超过30吨，或吊装高度超过50米，应依照相关法规要求，组织专家进行评审。</w:t>
      </w:r>
    </w:p>
    <w:p>
      <w:pPr>
        <w:rPr>
          <w:color w:val="auto"/>
          <w:highlight w:val="none"/>
        </w:rPr>
      </w:pPr>
      <w:r>
        <w:rPr>
          <w:rFonts w:eastAsia="Times New Roman"/>
          <w:b/>
          <w:color w:val="auto"/>
          <w:spacing w:val="28"/>
          <w:szCs w:val="21"/>
          <w:highlight w:val="none"/>
        </w:rPr>
        <w:t>9.1.3</w:t>
      </w:r>
      <w:r>
        <w:rPr>
          <w:rFonts w:hint="eastAsia"/>
          <w:color w:val="auto"/>
          <w:highlight w:val="none"/>
        </w:rPr>
        <w:t xml:space="preserve"> 为最大限度地创造经济效益，避免由于设计或施工经验缺乏影响模块单元安装效率和质量，特别提出应通过试安装进行验证性试验。特别是对于没有经验的施工单位或尚无现实案例的新型装配式结构体系，试安装不仅对于验证和调整施工方案具有指导意义，还具有培训专业人员、检验设备性能、规避安全风险等作用。</w:t>
      </w:r>
    </w:p>
    <w:p>
      <w:pPr>
        <w:pStyle w:val="4"/>
        <w:numPr>
          <w:ilvl w:val="1"/>
          <w:numId w:val="0"/>
        </w:numPr>
        <w:rPr>
          <w:color w:val="auto"/>
          <w:szCs w:val="21"/>
          <w:highlight w:val="none"/>
        </w:rPr>
      </w:pPr>
      <w:r>
        <w:rPr>
          <w:rFonts w:eastAsia="Times New Roman"/>
          <w:b/>
          <w:color w:val="auto"/>
          <w:spacing w:val="20"/>
          <w:szCs w:val="21"/>
          <w:highlight w:val="none"/>
        </w:rPr>
        <w:t>9.2</w:t>
      </w:r>
      <w:r>
        <w:rPr>
          <w:rFonts w:hint="eastAsia" w:eastAsia="Times New Roman"/>
          <w:b/>
          <w:color w:val="auto"/>
          <w:spacing w:val="20"/>
          <w:szCs w:val="21"/>
          <w:highlight w:val="none"/>
        </w:rPr>
        <w:t xml:space="preserve">  </w:t>
      </w:r>
      <w:r>
        <w:rPr>
          <w:rFonts w:hint="eastAsia"/>
          <w:color w:val="auto"/>
          <w:szCs w:val="21"/>
          <w:highlight w:val="none"/>
        </w:rPr>
        <w:t>现场安装</w:t>
      </w:r>
    </w:p>
    <w:p>
      <w:pPr>
        <w:rPr>
          <w:rFonts w:eastAsia="Times New Roman"/>
          <w:bCs/>
          <w:color w:val="auto"/>
          <w:szCs w:val="21"/>
          <w:highlight w:val="none"/>
        </w:rPr>
        <w:sectPr>
          <w:pgSz w:w="11906" w:h="16838"/>
          <w:pgMar w:top="1610" w:right="1349" w:bottom="1213" w:left="1293" w:header="851" w:footer="992" w:gutter="0"/>
          <w:cols w:space="0" w:num="1"/>
          <w:docGrid w:type="lines" w:linePitch="312" w:charSpace="0"/>
        </w:sectPr>
      </w:pPr>
      <w:r>
        <w:rPr>
          <w:rFonts w:eastAsia="Times New Roman"/>
          <w:b/>
          <w:color w:val="auto"/>
          <w:spacing w:val="28"/>
          <w:szCs w:val="21"/>
          <w:highlight w:val="none"/>
        </w:rPr>
        <w:t>9.2.</w:t>
      </w:r>
      <w:r>
        <w:rPr>
          <w:rFonts w:hint="eastAsia" w:eastAsia="Times New Roman"/>
          <w:b/>
          <w:color w:val="auto"/>
          <w:spacing w:val="28"/>
          <w:szCs w:val="21"/>
          <w:highlight w:val="none"/>
        </w:rPr>
        <w:t>7</w:t>
      </w:r>
      <w:r>
        <w:rPr>
          <w:rFonts w:hint="eastAsia" w:eastAsia="宋体"/>
          <w:b w:val="0"/>
          <w:color w:val="auto"/>
          <w:szCs w:val="22"/>
          <w:highlight w:val="none"/>
        </w:rPr>
        <w:t xml:space="preserve">  </w:t>
      </w:r>
      <w:r>
        <w:rPr>
          <w:rFonts w:hint="eastAsia" w:eastAsia="宋体"/>
          <w:bCs w:val="0"/>
          <w:color w:val="auto"/>
          <w:szCs w:val="22"/>
          <w:highlight w:val="none"/>
        </w:rPr>
        <w:t>通常混凝土模块化项目与传统的混凝土项目在施工时所采用的防护系统为外脚手架，脚手架应符合《施工脚手架通用规范》GB 55023的有关规定。</w:t>
      </w:r>
    </w:p>
    <w:p>
      <w:pPr>
        <w:pStyle w:val="2"/>
        <w:numPr>
          <w:ilvl w:val="255"/>
          <w:numId w:val="0"/>
        </w:numPr>
        <w:rPr>
          <w:b/>
          <w:bCs w:val="0"/>
          <w:color w:val="auto"/>
          <w:highlight w:val="none"/>
        </w:rPr>
      </w:pPr>
      <w:r>
        <w:rPr>
          <w:b/>
          <w:bCs w:val="0"/>
          <w:color w:val="auto"/>
          <w:highlight w:val="none"/>
        </w:rPr>
        <w:t>10</w:t>
      </w:r>
      <w:r>
        <w:rPr>
          <w:rFonts w:hint="eastAsia"/>
          <w:b/>
          <w:bCs w:val="0"/>
          <w:color w:val="auto"/>
          <w:highlight w:val="none"/>
        </w:rPr>
        <w:t xml:space="preserve"> </w:t>
      </w:r>
      <w:r>
        <w:rPr>
          <w:b/>
          <w:bCs w:val="0"/>
          <w:color w:val="auto"/>
          <w:highlight w:val="none"/>
        </w:rPr>
        <w:t>质量验收</w:t>
      </w:r>
    </w:p>
    <w:p>
      <w:pPr>
        <w:pStyle w:val="4"/>
        <w:numPr>
          <w:ilvl w:val="1"/>
          <w:numId w:val="0"/>
        </w:numPr>
        <w:rPr>
          <w:rFonts w:eastAsia="Times New Roman"/>
          <w:color w:val="auto"/>
          <w:szCs w:val="21"/>
          <w:highlight w:val="none"/>
        </w:rPr>
      </w:pPr>
      <w:r>
        <w:rPr>
          <w:rFonts w:eastAsia="Times New Roman"/>
          <w:b/>
          <w:color w:val="auto"/>
          <w:highlight w:val="none"/>
        </w:rPr>
        <w:t>10.1</w:t>
      </w:r>
      <w:r>
        <w:rPr>
          <w:rFonts w:hint="eastAsia" w:eastAsia="宋体"/>
          <w:b/>
          <w:color w:val="auto"/>
          <w:highlight w:val="none"/>
        </w:rPr>
        <w:t xml:space="preserve">  </w:t>
      </w:r>
      <w:r>
        <w:rPr>
          <w:rFonts w:hint="eastAsia"/>
          <w:color w:val="auto"/>
          <w:highlight w:val="none"/>
        </w:rPr>
        <w:t>一般规定</w:t>
      </w:r>
    </w:p>
    <w:p>
      <w:pPr>
        <w:rPr>
          <w:color w:val="auto"/>
          <w:highlight w:val="none"/>
        </w:rPr>
      </w:pPr>
      <w:r>
        <w:rPr>
          <w:rFonts w:eastAsia="Times New Roman"/>
          <w:b/>
          <w:color w:val="auto"/>
          <w:spacing w:val="28"/>
          <w:szCs w:val="21"/>
          <w:highlight w:val="none"/>
        </w:rPr>
        <w:t>10.1.</w:t>
      </w:r>
      <w:r>
        <w:rPr>
          <w:rFonts w:hint="eastAsia" w:eastAsia="Times New Roman"/>
          <w:b/>
          <w:color w:val="auto"/>
          <w:spacing w:val="28"/>
          <w:szCs w:val="21"/>
          <w:highlight w:val="none"/>
        </w:rPr>
        <w:t>4</w:t>
      </w:r>
      <w:r>
        <w:rPr>
          <w:rFonts w:hint="eastAsia"/>
          <w:color w:val="auto"/>
          <w:highlight w:val="none"/>
        </w:rPr>
        <w:t xml:space="preserve">  由于混凝土模块化建筑的建造特点，大量的现场工作转移到工厂完成。对于混凝土模块化建筑的主体结构，部分内容以模块单元的形式在工厂预制完成，其余内容在现场完成，故将混凝土模块作为各分项工程的集合，对于不同的部位需对应具体的分项工程进行验收。</w:t>
      </w:r>
    </w:p>
    <w:p>
      <w:pPr>
        <w:rPr>
          <w:color w:val="auto"/>
          <w:highlight w:val="none"/>
        </w:rPr>
      </w:pPr>
      <w:r>
        <w:rPr>
          <w:rFonts w:eastAsia="Times New Roman"/>
          <w:b/>
          <w:color w:val="auto"/>
          <w:spacing w:val="28"/>
          <w:szCs w:val="21"/>
          <w:highlight w:val="none"/>
        </w:rPr>
        <w:t>10.1.</w:t>
      </w:r>
      <w:r>
        <w:rPr>
          <w:rFonts w:hint="eastAsia" w:eastAsia="Times New Roman"/>
          <w:b/>
          <w:color w:val="auto"/>
          <w:spacing w:val="28"/>
          <w:szCs w:val="21"/>
          <w:highlight w:val="none"/>
        </w:rPr>
        <w:t>5</w:t>
      </w:r>
      <w:r>
        <w:rPr>
          <w:rFonts w:hint="eastAsia"/>
          <w:color w:val="auto"/>
          <w:highlight w:val="none"/>
        </w:rPr>
        <w:t xml:space="preserve">  模块化建筑在进行工程验收时，应根据《建筑工程施工质量验收统一标准》GB 50300中的验收体系，分为分部（子分部）工程及分项工程。模块单元集成了建筑的结构、装饰装修及机电管线，相关内容应按照其对应的分部（子分部）工程及分项工程进行验收。</w:t>
      </w:r>
    </w:p>
    <w:p>
      <w:pPr>
        <w:rPr>
          <w:color w:val="auto"/>
          <w:highlight w:val="none"/>
        </w:rPr>
      </w:pPr>
      <w:r>
        <w:rPr>
          <w:rFonts w:eastAsia="Times New Roman"/>
          <w:b/>
          <w:color w:val="auto"/>
          <w:spacing w:val="28"/>
          <w:szCs w:val="21"/>
          <w:highlight w:val="none"/>
        </w:rPr>
        <w:t>10.1.</w:t>
      </w:r>
      <w:r>
        <w:rPr>
          <w:rFonts w:hint="eastAsia" w:eastAsia="Times New Roman"/>
          <w:b/>
          <w:color w:val="auto"/>
          <w:spacing w:val="28"/>
          <w:szCs w:val="21"/>
          <w:highlight w:val="none"/>
        </w:rPr>
        <w:t>6</w:t>
      </w:r>
      <w:r>
        <w:rPr>
          <w:rFonts w:hint="eastAsia"/>
          <w:color w:val="auto"/>
          <w:highlight w:val="none"/>
        </w:rPr>
        <w:t xml:space="preserve">  模块化结构施工质量验收时提出应增加提交的主要文件和记录，是保证工程质量实现可追溯性的基本要求。</w:t>
      </w:r>
    </w:p>
    <w:p>
      <w:pPr>
        <w:pStyle w:val="4"/>
        <w:numPr>
          <w:ilvl w:val="1"/>
          <w:numId w:val="0"/>
        </w:numPr>
        <w:rPr>
          <w:rFonts w:eastAsia="Times New Roman"/>
          <w:color w:val="auto"/>
          <w:szCs w:val="21"/>
          <w:highlight w:val="none"/>
        </w:rPr>
      </w:pPr>
      <w:r>
        <w:rPr>
          <w:rFonts w:eastAsia="Times New Roman"/>
          <w:b/>
          <w:color w:val="auto"/>
          <w:highlight w:val="none"/>
        </w:rPr>
        <w:t>10.</w:t>
      </w:r>
      <w:r>
        <w:rPr>
          <w:rFonts w:hint="eastAsia" w:eastAsia="宋体"/>
          <w:b/>
          <w:color w:val="auto"/>
          <w:highlight w:val="none"/>
        </w:rPr>
        <w:t xml:space="preserve">2  </w:t>
      </w:r>
      <w:r>
        <w:rPr>
          <w:rFonts w:hint="eastAsia"/>
          <w:color w:val="auto"/>
          <w:highlight w:val="none"/>
        </w:rPr>
        <w:t>模块单元进场验收</w:t>
      </w:r>
    </w:p>
    <w:p>
      <w:pPr>
        <w:rPr>
          <w:color w:val="auto"/>
          <w:highlight w:val="none"/>
        </w:rPr>
      </w:pPr>
      <w:r>
        <w:rPr>
          <w:rFonts w:eastAsia="Times New Roman"/>
          <w:b/>
          <w:color w:val="auto"/>
          <w:spacing w:val="28"/>
          <w:szCs w:val="21"/>
          <w:highlight w:val="none"/>
        </w:rPr>
        <w:t>10.</w:t>
      </w:r>
      <w:r>
        <w:rPr>
          <w:rFonts w:hint="eastAsia" w:eastAsia="Times New Roman"/>
          <w:b/>
          <w:color w:val="auto"/>
          <w:spacing w:val="28"/>
          <w:szCs w:val="21"/>
          <w:highlight w:val="none"/>
        </w:rPr>
        <w:t>2.1</w:t>
      </w:r>
      <w:r>
        <w:rPr>
          <w:rFonts w:hint="eastAsia"/>
          <w:color w:val="auto"/>
          <w:highlight w:val="none"/>
        </w:rPr>
        <w:t xml:space="preserve">  模块单元的出厂合格证相关内容详见附录A，其配套的质量证明文件包括但不限于：原材料质量证明文件，混凝土强度报告、钢筋检验资料、模具检验资料、混凝土浇筑记录、模块单元尺寸偏差及外观质量检验记录、模块淋水及蓄水试验报告、模块单元施工功能检验记录、相关隐蔽工程验收记录等内容。</w:t>
      </w:r>
    </w:p>
    <w:p>
      <w:pPr>
        <w:rPr>
          <w:color w:val="auto"/>
          <w:highlight w:val="none"/>
        </w:rPr>
      </w:pPr>
      <w:r>
        <w:rPr>
          <w:rFonts w:eastAsia="Times New Roman"/>
          <w:b/>
          <w:color w:val="auto"/>
          <w:spacing w:val="28"/>
          <w:szCs w:val="21"/>
          <w:highlight w:val="none"/>
        </w:rPr>
        <w:t>10.</w:t>
      </w:r>
      <w:r>
        <w:rPr>
          <w:rFonts w:hint="eastAsia" w:eastAsia="Times New Roman"/>
          <w:b/>
          <w:color w:val="auto"/>
          <w:spacing w:val="28"/>
          <w:szCs w:val="21"/>
          <w:highlight w:val="none"/>
        </w:rPr>
        <w:t>2</w:t>
      </w:r>
      <w:r>
        <w:rPr>
          <w:rFonts w:eastAsia="Times New Roman"/>
          <w:b/>
          <w:color w:val="auto"/>
          <w:spacing w:val="28"/>
          <w:szCs w:val="21"/>
          <w:highlight w:val="none"/>
        </w:rPr>
        <w:t>.</w:t>
      </w:r>
      <w:r>
        <w:rPr>
          <w:rFonts w:hint="eastAsia" w:eastAsia="Times New Roman"/>
          <w:b/>
          <w:color w:val="auto"/>
          <w:spacing w:val="28"/>
          <w:szCs w:val="21"/>
          <w:highlight w:val="none"/>
        </w:rPr>
        <w:t>5</w:t>
      </w:r>
      <w:r>
        <w:rPr>
          <w:rFonts w:hint="eastAsia"/>
          <w:color w:val="auto"/>
          <w:highlight w:val="none"/>
        </w:rPr>
        <w:t xml:space="preserve">  模块单元的尺寸等应在进场时按批检验，避免在构件安装时发现问题造成不必要的损失。</w:t>
      </w:r>
    </w:p>
    <w:p>
      <w:pPr>
        <w:pStyle w:val="4"/>
        <w:numPr>
          <w:ilvl w:val="1"/>
          <w:numId w:val="0"/>
        </w:numPr>
        <w:rPr>
          <w:rFonts w:eastAsia="Times New Roman"/>
          <w:color w:val="auto"/>
          <w:szCs w:val="21"/>
          <w:highlight w:val="none"/>
        </w:rPr>
      </w:pPr>
      <w:r>
        <w:rPr>
          <w:rFonts w:eastAsia="Times New Roman"/>
          <w:b/>
          <w:color w:val="auto"/>
          <w:highlight w:val="none"/>
        </w:rPr>
        <w:t>10.</w:t>
      </w:r>
      <w:r>
        <w:rPr>
          <w:rFonts w:hint="eastAsia" w:eastAsia="宋体"/>
          <w:b/>
          <w:color w:val="auto"/>
          <w:highlight w:val="none"/>
        </w:rPr>
        <w:t xml:space="preserve">3  </w:t>
      </w:r>
      <w:r>
        <w:rPr>
          <w:rFonts w:hint="eastAsia"/>
          <w:color w:val="auto"/>
          <w:highlight w:val="none"/>
        </w:rPr>
        <w:t>模块单元安装与连接</w:t>
      </w:r>
    </w:p>
    <w:p>
      <w:pPr>
        <w:rPr>
          <w:color w:val="auto"/>
          <w:highlight w:val="none"/>
        </w:rPr>
      </w:pPr>
      <w:r>
        <w:rPr>
          <w:rFonts w:eastAsia="Times New Roman"/>
          <w:b/>
          <w:color w:val="auto"/>
          <w:spacing w:val="28"/>
          <w:szCs w:val="21"/>
          <w:highlight w:val="none"/>
        </w:rPr>
        <w:t>10.</w:t>
      </w:r>
      <w:r>
        <w:rPr>
          <w:rFonts w:hint="eastAsia" w:eastAsia="Times New Roman"/>
          <w:b/>
          <w:color w:val="auto"/>
          <w:spacing w:val="28"/>
          <w:szCs w:val="21"/>
          <w:highlight w:val="none"/>
        </w:rPr>
        <w:t>3.8</w:t>
      </w:r>
      <w:r>
        <w:rPr>
          <w:rFonts w:hint="eastAsia"/>
          <w:color w:val="auto"/>
          <w:highlight w:val="none"/>
        </w:rPr>
        <w:t xml:space="preserve">  本条参考上海市地方标准《装配整体式叠合剪力墙结构技术规程》DG/TJ 08-2266的有关规定，本导则的现浇区域一般在150mm~200mm之间，比双面叠合剪力墙（100mm）的空间更大，混凝土更容易振捣和成型，并且为进一步保障施工质量，亦可采用超声法、阵列超声成像法进行密实度检测，检查数量：每1000平方米建筑面积检测1个构件，每层不少于3个构件。</w:t>
      </w:r>
    </w:p>
    <w:p>
      <w:pPr>
        <w:widowControl/>
        <w:jc w:val="left"/>
        <w:rPr>
          <w:color w:val="auto"/>
          <w:highlight w:val="none"/>
        </w:rPr>
      </w:pPr>
      <w:r>
        <w:rPr>
          <w:color w:val="auto"/>
          <w:highlight w:val="none"/>
        </w:rPr>
        <w:br w:type="page"/>
      </w:r>
    </w:p>
    <w:p>
      <w:pPr>
        <w:pStyle w:val="2"/>
        <w:numPr>
          <w:ilvl w:val="255"/>
          <w:numId w:val="0"/>
        </w:numPr>
        <w:rPr>
          <w:b/>
          <w:bCs w:val="0"/>
          <w:color w:val="auto"/>
          <w:highlight w:val="none"/>
        </w:rPr>
      </w:pPr>
      <w:r>
        <w:rPr>
          <w:b/>
          <w:bCs w:val="0"/>
          <w:color w:val="auto"/>
          <w:highlight w:val="none"/>
        </w:rPr>
        <w:t>12</w:t>
      </w:r>
      <w:r>
        <w:rPr>
          <w:rFonts w:hint="eastAsia"/>
          <w:b/>
          <w:bCs w:val="0"/>
          <w:color w:val="auto"/>
          <w:highlight w:val="none"/>
        </w:rPr>
        <w:t xml:space="preserve"> 智能建造</w:t>
      </w:r>
    </w:p>
    <w:p>
      <w:pPr>
        <w:pStyle w:val="4"/>
        <w:numPr>
          <w:ilvl w:val="1"/>
          <w:numId w:val="0"/>
        </w:numPr>
        <w:rPr>
          <w:color w:val="auto"/>
          <w:highlight w:val="none"/>
        </w:rPr>
      </w:pPr>
      <w:r>
        <w:rPr>
          <w:rFonts w:eastAsia="Times New Roman"/>
          <w:b/>
          <w:color w:val="auto"/>
          <w:highlight w:val="none"/>
        </w:rPr>
        <w:t>12.1</w:t>
      </w:r>
      <w:r>
        <w:rPr>
          <w:rFonts w:hint="eastAsia" w:eastAsia="宋体"/>
          <w:b/>
          <w:color w:val="auto"/>
          <w:highlight w:val="none"/>
        </w:rPr>
        <w:t xml:space="preserve">  </w:t>
      </w:r>
      <w:r>
        <w:rPr>
          <w:rFonts w:hint="eastAsia"/>
          <w:color w:val="auto"/>
          <w:highlight w:val="none"/>
        </w:rPr>
        <w:t>一般规定</w:t>
      </w:r>
    </w:p>
    <w:p>
      <w:pPr>
        <w:rPr>
          <w:color w:val="auto"/>
          <w:highlight w:val="none"/>
        </w:rPr>
      </w:pPr>
      <w:r>
        <w:rPr>
          <w:rFonts w:eastAsia="Times New Roman"/>
          <w:b/>
          <w:color w:val="auto"/>
          <w:spacing w:val="28"/>
          <w:szCs w:val="21"/>
          <w:highlight w:val="none"/>
        </w:rPr>
        <w:t>12.1.2</w:t>
      </w:r>
      <w:r>
        <w:rPr>
          <w:rFonts w:hint="eastAsia"/>
          <w:b/>
          <w:color w:val="auto"/>
          <w:highlight w:val="none"/>
        </w:rPr>
        <w:t xml:space="preserve">  </w:t>
      </w:r>
      <w:r>
        <w:rPr>
          <w:rFonts w:hint="eastAsia"/>
          <w:color w:val="auto"/>
          <w:highlight w:val="none"/>
        </w:rPr>
        <w:t>信息化管理平台作为智能建造的实现工具，应能实现数字化交付和数据追溯，且不仅能适应当前业务需求，也能在未来的使用环境下扩展业务需求。</w:t>
      </w:r>
    </w:p>
    <w:p>
      <w:pPr>
        <w:pStyle w:val="4"/>
        <w:numPr>
          <w:ilvl w:val="1"/>
          <w:numId w:val="0"/>
        </w:numPr>
        <w:rPr>
          <w:color w:val="auto"/>
          <w:highlight w:val="none"/>
        </w:rPr>
      </w:pPr>
      <w:r>
        <w:rPr>
          <w:rFonts w:eastAsia="Times New Roman"/>
          <w:b/>
          <w:color w:val="auto"/>
          <w:highlight w:val="none"/>
        </w:rPr>
        <w:t>12.2</w:t>
      </w:r>
      <w:r>
        <w:rPr>
          <w:rFonts w:hint="eastAsia" w:eastAsia="宋体"/>
          <w:b/>
          <w:color w:val="auto"/>
          <w:highlight w:val="none"/>
        </w:rPr>
        <w:t xml:space="preserve">  </w:t>
      </w:r>
      <w:r>
        <w:rPr>
          <w:rFonts w:hint="eastAsia"/>
          <w:color w:val="auto"/>
          <w:highlight w:val="none"/>
        </w:rPr>
        <w:t>数字化设计</w:t>
      </w:r>
    </w:p>
    <w:p>
      <w:pPr>
        <w:rPr>
          <w:color w:val="auto"/>
          <w:highlight w:val="none"/>
        </w:rPr>
      </w:pPr>
      <w:r>
        <w:rPr>
          <w:rFonts w:eastAsia="Times New Roman"/>
          <w:b/>
          <w:color w:val="auto"/>
          <w:spacing w:val="28"/>
          <w:szCs w:val="21"/>
          <w:highlight w:val="none"/>
        </w:rPr>
        <w:t>12.2.1</w:t>
      </w:r>
      <w:r>
        <w:rPr>
          <w:rFonts w:hint="eastAsia"/>
          <w:b/>
          <w:color w:val="auto"/>
          <w:highlight w:val="none"/>
        </w:rPr>
        <w:t xml:space="preserve">  </w:t>
      </w:r>
      <w:r>
        <w:rPr>
          <w:rFonts w:hint="eastAsia"/>
          <w:color w:val="auto"/>
          <w:highlight w:val="none"/>
        </w:rPr>
        <w:t>混凝土模块化建筑不宜采用建筑信息模型后验证方式进行设计，因为建筑信息模型后验证方式在项目的施工准备阶段开始介入，发现问题不及时，不利于模块的集成化建造。并且随着项目的实施，设计图纸和模型的一致性难以保证。</w:t>
      </w:r>
    </w:p>
    <w:p>
      <w:pPr>
        <w:rPr>
          <w:color w:val="auto"/>
          <w:highlight w:val="none"/>
        </w:rPr>
      </w:pPr>
      <w:r>
        <w:rPr>
          <w:rFonts w:hint="eastAsia"/>
          <w:color w:val="auto"/>
          <w:highlight w:val="none"/>
        </w:rPr>
        <w:t>建筑信息模型的创建应符合下列规定：</w:t>
      </w:r>
    </w:p>
    <w:p>
      <w:pPr>
        <w:ind w:firstLine="632" w:firstLineChars="300"/>
        <w:rPr>
          <w:color w:val="auto"/>
          <w:highlight w:val="none"/>
        </w:rPr>
      </w:pPr>
      <w:r>
        <w:rPr>
          <w:rFonts w:hint="eastAsia"/>
          <w:b/>
          <w:bCs/>
          <w:color w:val="auto"/>
          <w:highlight w:val="none"/>
        </w:rPr>
        <w:t xml:space="preserve">1  </w:t>
      </w:r>
      <w:r>
        <w:rPr>
          <w:rFonts w:hint="eastAsia"/>
          <w:color w:val="auto"/>
          <w:highlight w:val="none"/>
        </w:rPr>
        <w:t>建筑信息模型应根据项目的阶段和专业进行建筑信息模型创建规划，统一制定建筑信息模型的建模要求；</w:t>
      </w:r>
    </w:p>
    <w:p>
      <w:pPr>
        <w:ind w:firstLine="632" w:firstLineChars="300"/>
        <w:rPr>
          <w:color w:val="auto"/>
          <w:highlight w:val="none"/>
        </w:rPr>
      </w:pPr>
      <w:r>
        <w:rPr>
          <w:rFonts w:hint="eastAsia"/>
          <w:b/>
          <w:bCs/>
          <w:color w:val="auto"/>
          <w:highlight w:val="none"/>
        </w:rPr>
        <w:t xml:space="preserve">2  </w:t>
      </w:r>
      <w:r>
        <w:rPr>
          <w:rFonts w:hint="eastAsia"/>
          <w:color w:val="auto"/>
          <w:highlight w:val="none"/>
        </w:rPr>
        <w:t>建筑信息模型应根据应用场景采用合理的建模精度。</w:t>
      </w:r>
    </w:p>
    <w:p>
      <w:pPr>
        <w:rPr>
          <w:color w:val="auto"/>
          <w:highlight w:val="none"/>
        </w:rPr>
      </w:pPr>
      <w:r>
        <w:rPr>
          <w:rFonts w:eastAsia="Times New Roman"/>
          <w:b/>
          <w:color w:val="auto"/>
          <w:spacing w:val="28"/>
          <w:szCs w:val="21"/>
          <w:highlight w:val="none"/>
        </w:rPr>
        <w:t>12.2.2</w:t>
      </w:r>
      <w:r>
        <w:rPr>
          <w:rFonts w:hint="eastAsia"/>
          <w:b/>
          <w:color w:val="auto"/>
          <w:highlight w:val="none"/>
        </w:rPr>
        <w:t xml:space="preserve">  </w:t>
      </w:r>
      <w:r>
        <w:rPr>
          <w:rFonts w:hint="eastAsia"/>
          <w:color w:val="auto"/>
          <w:highlight w:val="none"/>
        </w:rPr>
        <w:t>混凝土模块化建筑采用工厂预制、现场拼装的建造方式，涉及建筑、结构、设备、装修等多专业的配合，故宜将模块单元加工图设计、二次机电加工图设计、装修加工图设计等工作前置，提高协同效率。</w:t>
      </w:r>
    </w:p>
    <w:p>
      <w:pPr>
        <w:rPr>
          <w:color w:val="auto"/>
          <w:highlight w:val="none"/>
        </w:rPr>
      </w:pPr>
      <w:r>
        <w:rPr>
          <w:rFonts w:eastAsia="Times New Roman"/>
          <w:b/>
          <w:color w:val="auto"/>
          <w:spacing w:val="28"/>
          <w:szCs w:val="21"/>
          <w:highlight w:val="none"/>
        </w:rPr>
        <w:t>12.2.3</w:t>
      </w:r>
      <w:r>
        <w:rPr>
          <w:rFonts w:hint="eastAsia"/>
          <w:b/>
          <w:color w:val="auto"/>
          <w:highlight w:val="none"/>
        </w:rPr>
        <w:t xml:space="preserve">  </w:t>
      </w:r>
      <w:r>
        <w:rPr>
          <w:rFonts w:hint="eastAsia"/>
          <w:color w:val="auto"/>
          <w:highlight w:val="none"/>
        </w:rPr>
        <w:t>协同设计管理平台，是指依托云计算等数字化技术，通过建立虚拟的项目协作环境，将建筑工程建设中的不同参与主体集中到同一设计管理平台，保证数据的一致性、协同工作的统一性，提高项目推进效率。构件设计管理平台，是指依托数据库管理等数字化技术</w:t>
      </w:r>
      <w:r>
        <w:rPr>
          <w:rFonts w:hint="eastAsia"/>
          <w:color w:val="auto"/>
          <w:highlight w:val="none"/>
          <w:lang w:eastAsia="zh-CN"/>
        </w:rPr>
        <w:t>，</w:t>
      </w:r>
      <w:r>
        <w:rPr>
          <w:rFonts w:hint="eastAsia"/>
          <w:color w:val="auto"/>
          <w:highlight w:val="none"/>
        </w:rPr>
        <w:t>通过建立设计所需的模型构件库，确保项目中的每位参与者共享构件库中的数字化模型。</w:t>
      </w:r>
    </w:p>
    <w:p>
      <w:pPr>
        <w:pStyle w:val="4"/>
        <w:numPr>
          <w:ilvl w:val="1"/>
          <w:numId w:val="0"/>
        </w:numPr>
        <w:rPr>
          <w:color w:val="auto"/>
          <w:highlight w:val="none"/>
        </w:rPr>
      </w:pPr>
      <w:r>
        <w:rPr>
          <w:rFonts w:eastAsia="Times New Roman"/>
          <w:b/>
          <w:color w:val="auto"/>
          <w:highlight w:val="none"/>
        </w:rPr>
        <w:t>12.3</w:t>
      </w:r>
      <w:r>
        <w:rPr>
          <w:rFonts w:hint="eastAsia" w:eastAsia="宋体"/>
          <w:b/>
          <w:color w:val="auto"/>
          <w:highlight w:val="none"/>
        </w:rPr>
        <w:t xml:space="preserve">  </w:t>
      </w:r>
      <w:r>
        <w:rPr>
          <w:rFonts w:hint="eastAsia"/>
          <w:color w:val="auto"/>
          <w:highlight w:val="none"/>
        </w:rPr>
        <w:t>智能化制造和运输</w:t>
      </w:r>
    </w:p>
    <w:p>
      <w:pPr>
        <w:rPr>
          <w:color w:val="auto"/>
          <w:highlight w:val="none"/>
        </w:rPr>
      </w:pPr>
      <w:r>
        <w:rPr>
          <w:rFonts w:eastAsia="Times New Roman"/>
          <w:b/>
          <w:color w:val="auto"/>
          <w:spacing w:val="28"/>
          <w:szCs w:val="21"/>
          <w:highlight w:val="none"/>
        </w:rPr>
        <w:t>12.3.1</w:t>
      </w:r>
      <w:r>
        <w:rPr>
          <w:rFonts w:hint="eastAsia"/>
          <w:b/>
          <w:color w:val="auto"/>
          <w:highlight w:val="none"/>
        </w:rPr>
        <w:t xml:space="preserve">  </w:t>
      </w:r>
      <w:r>
        <w:rPr>
          <w:rFonts w:hint="eastAsia"/>
          <w:color w:val="auto"/>
          <w:highlight w:val="none"/>
        </w:rPr>
        <w:t>智能化制造是指配合标准化、模块化设计，基于设计数据，形成智能制造管理系统可执行的制造数据，通过智能设备通讯通道，驱动制造线多个工艺设备智能化制造作业。</w:t>
      </w:r>
    </w:p>
    <w:p>
      <w:pPr>
        <w:pStyle w:val="4"/>
        <w:numPr>
          <w:ilvl w:val="1"/>
          <w:numId w:val="0"/>
        </w:numPr>
        <w:rPr>
          <w:color w:val="auto"/>
          <w:highlight w:val="none"/>
        </w:rPr>
      </w:pPr>
      <w:r>
        <w:rPr>
          <w:rFonts w:eastAsia="Times New Roman"/>
          <w:b/>
          <w:color w:val="auto"/>
          <w:highlight w:val="none"/>
        </w:rPr>
        <w:t>12.4</w:t>
      </w:r>
      <w:r>
        <w:rPr>
          <w:rFonts w:hint="eastAsia" w:eastAsia="宋体"/>
          <w:b/>
          <w:color w:val="auto"/>
          <w:highlight w:val="none"/>
        </w:rPr>
        <w:t xml:space="preserve">  </w:t>
      </w:r>
      <w:r>
        <w:rPr>
          <w:rFonts w:hint="eastAsia"/>
          <w:color w:val="auto"/>
          <w:highlight w:val="none"/>
        </w:rPr>
        <w:t>数字化施工</w:t>
      </w:r>
    </w:p>
    <w:p>
      <w:pPr>
        <w:rPr>
          <w:color w:val="auto"/>
          <w:highlight w:val="none"/>
        </w:rPr>
      </w:pPr>
      <w:r>
        <w:rPr>
          <w:rFonts w:eastAsia="Times New Roman"/>
          <w:b/>
          <w:color w:val="auto"/>
          <w:spacing w:val="28"/>
          <w:szCs w:val="21"/>
          <w:highlight w:val="none"/>
        </w:rPr>
        <w:t>12.4.1</w:t>
      </w:r>
      <w:r>
        <w:rPr>
          <w:rFonts w:hint="eastAsia"/>
          <w:b/>
          <w:color w:val="auto"/>
          <w:highlight w:val="none"/>
        </w:rPr>
        <w:t xml:space="preserve">  </w:t>
      </w:r>
      <w:r>
        <w:rPr>
          <w:rFonts w:hint="eastAsia"/>
          <w:color w:val="auto"/>
          <w:highlight w:val="none"/>
        </w:rPr>
        <w:t>混凝土模块化建筑在施工阶段的智能建造技术包括智慧化施工管理、虚拟建造、智能装备应用等方面。</w:t>
      </w:r>
    </w:p>
    <w:p>
      <w:pPr>
        <w:rPr>
          <w:color w:val="auto"/>
          <w:highlight w:val="none"/>
        </w:rPr>
      </w:pPr>
      <w:r>
        <w:rPr>
          <w:rFonts w:eastAsia="Times New Roman"/>
          <w:b/>
          <w:color w:val="auto"/>
          <w:spacing w:val="28"/>
          <w:szCs w:val="21"/>
          <w:highlight w:val="none"/>
        </w:rPr>
        <w:t>12.4</w:t>
      </w:r>
      <w:r>
        <w:rPr>
          <w:rFonts w:hint="eastAsia" w:eastAsia="Times New Roman"/>
          <w:b/>
          <w:color w:val="auto"/>
          <w:spacing w:val="28"/>
          <w:szCs w:val="21"/>
          <w:highlight w:val="none"/>
        </w:rPr>
        <w:t>.2</w:t>
      </w:r>
      <w:r>
        <w:rPr>
          <w:rFonts w:hint="eastAsia"/>
          <w:b/>
          <w:color w:val="auto"/>
          <w:highlight w:val="none"/>
        </w:rPr>
        <w:t xml:space="preserve">  </w:t>
      </w:r>
      <w:r>
        <w:rPr>
          <w:rFonts w:hint="eastAsia"/>
          <w:color w:val="auto"/>
          <w:highlight w:val="none"/>
        </w:rPr>
        <w:t>设备安全监测是指利用AI、物联网等技术手段，实现塔吊、汽车吊、人货梯等大型施工机械运行状态监测与安全预警。材料智能化管理是指利用条形码、二维码、芯片等技术手段，实现对施工现场包括堆场管理在内的物料自动分类与管理。</w:t>
      </w:r>
    </w:p>
    <w:p>
      <w:pPr>
        <w:pStyle w:val="47"/>
        <w:widowControl/>
        <w:tabs>
          <w:tab w:val="left" w:pos="0"/>
        </w:tabs>
        <w:ind w:firstLine="0" w:firstLineChars="0"/>
        <w:jc w:val="left"/>
        <w:rPr>
          <w:rFonts w:hint="eastAsia" w:ascii="宋体" w:hAnsi="宋体"/>
          <w:color w:val="auto"/>
          <w:szCs w:val="21"/>
          <w:highlight w:val="none"/>
        </w:rPr>
      </w:pPr>
    </w:p>
    <w:sectPr>
      <w:pgSz w:w="11906" w:h="16838"/>
      <w:pgMar w:top="1610" w:right="1349" w:bottom="1213" w:left="1293" w:header="851" w:footer="992" w:gutter="0"/>
      <w:cols w:space="720" w:num="1"/>
      <w:docGrid w:type="lines" w:linePitch="333" w:charSpace="44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等线">
    <w:altName w:val="宋体"/>
    <w:panose1 w:val="02010600030101010101"/>
    <w:charset w:val="86"/>
    <w:family w:val="auto"/>
    <w:pitch w:val="default"/>
    <w:sig w:usb0="00000000" w:usb1="00000000" w:usb2="00000016" w:usb3="00000000" w:csb0="0004000F" w:csb1="0000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仿宋">
    <w:altName w:val="宋体"/>
    <w:panose1 w:val="02010609060101010101"/>
    <w:charset w:val="86"/>
    <w:family w:val="modern"/>
    <w:pitch w:val="default"/>
    <w:sig w:usb0="00000000" w:usb1="00000000"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楷体">
    <w:altName w:val="方正楷体_GBK"/>
    <w:panose1 w:val="02010609060101010101"/>
    <w:charset w:val="86"/>
    <w:family w:val="modern"/>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Cambria Math">
    <w:altName w:val="DejaVu Math TeX Gyre"/>
    <w:panose1 w:val="02040503050406030204"/>
    <w:charset w:val="00"/>
    <w:family w:val="roman"/>
    <w:pitch w:val="default"/>
    <w:sig w:usb0="00000000" w:usb1="00000000" w:usb2="02000000" w:usb3="00000000" w:csb0="2000019F" w:csb1="00000000"/>
  </w:font>
  <w:font w:name="DejaVu Math TeX Gyre">
    <w:panose1 w:val="02000503000000000000"/>
    <w:charset w:val="00"/>
    <w:family w:val="auto"/>
    <w:pitch w:val="default"/>
    <w:sig w:usb0="A10000EF" w:usb1="4201F9EE" w:usb2="02000000" w:usb3="00000000" w:csb0="60000193" w:csb1="0DD40000"/>
  </w:font>
  <w:font w:name="PMingLiU">
    <w:altName w:val="文泉驿微米黑"/>
    <w:panose1 w:val="02010601000101010101"/>
    <w:charset w:val="88"/>
    <w:family w:val="roman"/>
    <w:pitch w:val="default"/>
    <w:sig w:usb0="00000000" w:usb1="00000000" w:usb2="00000016" w:usb3="00000000" w:csb0="00100001" w:csb1="00000000"/>
  </w:font>
  <w:font w:name="文泉驿微米黑">
    <w:panose1 w:val="020B0606030804020204"/>
    <w:charset w:val="86"/>
    <w:family w:val="auto"/>
    <w:pitch w:val="default"/>
    <w:sig w:usb0="E10002EF" w:usb1="6BDFFCFB" w:usb2="00800036" w:usb3="00000000" w:csb0="603E019F" w:csb1="DFD70000"/>
  </w:font>
  <w:font w:name="Times New Roman Bold">
    <w:altName w:val="DejaVu Sans"/>
    <w:panose1 w:val="02020803070505020304"/>
    <w:charset w:val="00"/>
    <w:family w:val="auto"/>
    <w:pitch w:val="default"/>
    <w:sig w:usb0="00000000" w:usb1="00000000" w:usb2="00000009" w:usb3="00000000" w:csb0="400001FF" w:csb1="FFFF0000"/>
  </w:font>
  <w:font w:name="微软雅黑">
    <w:altName w:val="黑体"/>
    <w:panose1 w:val="00000000000000000000"/>
    <w:charset w:val="00"/>
    <w:family w:val="auto"/>
    <w:pitch w:val="default"/>
    <w:sig w:usb0="00000000" w:usb1="00000000" w:usb2="00000000" w:usb3="00000000" w:csb0="00000000" w:csb1="00000000"/>
  </w:font>
  <w:font w:name="Tahoma">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rPr>
        <w:rFonts w:ascii="Times New Roman" w:hAnsi="Times New Roman"/>
        <w:i/>
        <w:iCs/>
        <w:sz w:val="21"/>
        <w:szCs w:val="21"/>
      </w:rPr>
    </w:pPr>
  </w:p>
  <w:p>
    <w:pPr>
      <w:pStyle w:val="15"/>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ascii="Times New Roman" w:hAnsi="Times New Roman"/>
        <w:i/>
        <w:iCs/>
        <w:sz w:val="21"/>
        <w:szCs w:val="21"/>
        <w:lang w:val="zh-CN"/>
      </w:rPr>
    </w:pPr>
  </w:p>
  <w:p>
    <w:pPr>
      <w:pStyle w:val="15"/>
      <w:jc w:val="right"/>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rPr>
        <w:rFonts w:ascii="Times New Roman" w:hAnsi="Times New Roman"/>
        <w:i/>
        <w:iCs/>
        <w:sz w:val="21"/>
        <w:szCs w:val="21"/>
      </w:rPr>
    </w:pPr>
  </w:p>
  <w:p>
    <w:pPr>
      <w:pStyle w:val="15"/>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ascii="Times New Roman" w:hAnsi="Times New Roman"/>
        <w:i/>
        <w:iCs/>
        <w:sz w:val="21"/>
        <w:szCs w:val="21"/>
        <w:lang w:val="zh-CN"/>
      </w:rPr>
    </w:pPr>
  </w:p>
  <w:p>
    <w:pPr>
      <w:pStyle w:val="15"/>
      <w:jc w:val="right"/>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rPr>
        <w:rFonts w:ascii="Times New Roman" w:hAnsi="Times New Roman"/>
        <w:i/>
        <w:iCs/>
        <w:sz w:val="21"/>
        <w:szCs w:val="21"/>
      </w:rPr>
    </w:pPr>
  </w:p>
  <w:p>
    <w:pPr>
      <w:pStyle w:val="15"/>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ascii="Times New Roman" w:hAnsi="Times New Roman"/>
        <w:i/>
        <w:iCs/>
        <w:sz w:val="21"/>
        <w:szCs w:val="21"/>
        <w:lang w:val="zh-CN"/>
      </w:rPr>
    </w:pPr>
  </w:p>
  <w:p>
    <w:pPr>
      <w:pStyle w:val="15"/>
      <w:jc w:val="right"/>
      <w:rPr>
        <w:rFonts w:hint="eastAsi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rPr>
        <w:rFonts w:ascii="Times New Roman" w:hAnsi="Times New Roman"/>
        <w:i/>
        <w:iCs/>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5"/>
                            <w:rPr>
                              <w:rFonts w:ascii="Times New Roman" w:hAnsi="Times New Roman"/>
                            </w:rPr>
                          </w:pPr>
                        </w:p>
                        <w:p>
                          <w:pPr>
                            <w:pStyle w:val="15"/>
                            <w:rPr>
                              <w:rFonts w:ascii="Times New Roman" w:hAnsi="Times New Roman"/>
                            </w:rPr>
                          </w:pP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CzSVju0AAAAAUBAAAPAAAAAAAAAAEAIAAAADgA&#10;AABkcnMvZG93bnJldi54bWxQSwECFAAUAAAACACHTuJA4olXDzQCAABlBAAADgAAAAAAAAABACAA&#10;AAA1AQAAZHJzL2Uyb0RvYy54bWxQSwUGAAAAAAYABgBZAQAA2wUAAAAA&#10;">
              <v:fill on="f" focussize="0,0"/>
              <v:stroke on="f" weight="0.5pt"/>
              <v:imagedata o:title=""/>
              <o:lock v:ext="edit" aspectratio="f"/>
              <v:textbox inset="0mm,0mm,0mm,0mm" style="mso-fit-shape-to-text:t;">
                <w:txbxContent>
                  <w:p>
                    <w:pPr>
                      <w:pStyle w:val="15"/>
                      <w:rPr>
                        <w:rFonts w:ascii="Times New Roman" w:hAnsi="Times New Roman"/>
                      </w:rPr>
                    </w:pPr>
                  </w:p>
                  <w:p>
                    <w:pPr>
                      <w:pStyle w:val="15"/>
                      <w:rPr>
                        <w:rFonts w:ascii="Times New Roman" w:hAnsi="Times New Roman"/>
                      </w:rPr>
                    </w:pP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t xml:space="preserve"> —</w:t>
                    </w:r>
                  </w:p>
                </w:txbxContent>
              </v:textbox>
            </v:shape>
          </w:pict>
        </mc:Fallback>
      </mc:AlternateContent>
    </w:r>
  </w:p>
  <w:p>
    <w:pPr>
      <w:pStyle w:val="15"/>
      <w:rPr>
        <w:rFonts w:hint="eastAsi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ascii="Times New Roman" w:hAnsi="Times New Roman"/>
        <w:i/>
        <w:iCs/>
        <w:sz w:val="21"/>
        <w:szCs w:val="21"/>
        <w:lang w:val="zh-CN"/>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5"/>
                            <w:rPr>
                              <w:rFonts w:ascii="Times New Roman" w:hAnsi="Times New Roman"/>
                            </w:rPr>
                          </w:pPr>
                        </w:p>
                        <w:p>
                          <w:pPr>
                            <w:pStyle w:val="15"/>
                            <w:rPr>
                              <w:rFonts w:ascii="Times New Roman" w:hAnsi="Times New Roman"/>
                            </w:rPr>
                          </w:pP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LNJWO7QAAAABQEAAA8AAAAAAAAAAQAgAAAAOAAA&#10;AGRycy9kb3ducmV2LnhtbFBLAQIUABQAAAAIAIdO4kDcqbEqMwIAAGUEAAAOAAAAAAAAAAEAIAAA&#10;ADUBAABkcnMvZTJvRG9jLnhtbFBLBQYAAAAABgAGAFkBAADaBQAAAAA=&#10;">
              <v:fill on="f" focussize="0,0"/>
              <v:stroke on="f" weight="0.5pt"/>
              <v:imagedata o:title=""/>
              <o:lock v:ext="edit" aspectratio="f"/>
              <v:textbox inset="0mm,0mm,0mm,0mm" style="mso-fit-shape-to-text:t;">
                <w:txbxContent>
                  <w:p>
                    <w:pPr>
                      <w:pStyle w:val="15"/>
                      <w:rPr>
                        <w:rFonts w:ascii="Times New Roman" w:hAnsi="Times New Roman"/>
                      </w:rPr>
                    </w:pPr>
                  </w:p>
                  <w:p>
                    <w:pPr>
                      <w:pStyle w:val="15"/>
                      <w:rPr>
                        <w:rFonts w:ascii="Times New Roman" w:hAnsi="Times New Roman"/>
                      </w:rPr>
                    </w:pP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 xml:space="preserve"> —</w:t>
                    </w:r>
                  </w:p>
                </w:txbxContent>
              </v:textbox>
            </v:shape>
          </w:pict>
        </mc:Fallback>
      </mc:AlternateContent>
    </w:r>
  </w:p>
  <w:p>
    <w:pPr>
      <w:pStyle w:val="15"/>
      <w:jc w:val="right"/>
      <w:rPr>
        <w:rFonts w:hint="eastAsia"/>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jc w:val="center"/>
      <w:rPr>
        <w:rFonts w:eastAsia="Times New Roman"/>
        <w:sz w:val="20"/>
        <w:szCs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5"/>
                            <w:rPr>
                              <w:rFonts w:ascii="Times New Roman" w:hAnsi="Times New Roman"/>
                            </w:rPr>
                          </w:pP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71</w:t>
                          </w:r>
                          <w:r>
                            <w:rPr>
                              <w:rFonts w:ascii="Times New Roman" w:hAnsi="Times New Roman"/>
                            </w:rPr>
                            <w:fldChar w:fldCharType="end"/>
                          </w:r>
                          <w:r>
                            <w:rPr>
                              <w:rFonts w:ascii="Times New Roman" w:hAnsi="Times New Roman"/>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LNJWO7QAAAABQEAAA8AAAAAAAAAAQAgAAAAOAAA&#10;AGRycy9kb3ducmV2LnhtbFBLAQIUABQAAAAIAIdO4kBkzjDiMwIAAGUEAAAOAAAAAAAAAAEAIAAA&#10;ADUBAABkcnMvZTJvRG9jLnhtbFBLBQYAAAAABgAGAFkBAADaBQAAAAA=&#10;">
              <v:fill on="f" focussize="0,0"/>
              <v:stroke on="f" weight="0.5pt"/>
              <v:imagedata o:title=""/>
              <o:lock v:ext="edit" aspectratio="f"/>
              <v:textbox inset="0mm,0mm,0mm,0mm" style="mso-fit-shape-to-text:t;">
                <w:txbxContent>
                  <w:p>
                    <w:pPr>
                      <w:pStyle w:val="15"/>
                      <w:rPr>
                        <w:rFonts w:ascii="Times New Roman" w:hAnsi="Times New Roman"/>
                      </w:rPr>
                    </w:pP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71</w:t>
                    </w:r>
                    <w:r>
                      <w:rPr>
                        <w:rFonts w:ascii="Times New Roman" w:hAnsi="Times New Roman"/>
                      </w:rPr>
                      <w:fldChar w:fldCharType="end"/>
                    </w:r>
                    <w:r>
                      <w:rPr>
                        <w:rFonts w:ascii="Times New Roman" w:hAnsi="Times New Roman"/>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D7884"/>
    <w:multiLevelType w:val="singleLevel"/>
    <w:tmpl w:val="923D7884"/>
    <w:lvl w:ilvl="0" w:tentative="0">
      <w:start w:val="1"/>
      <w:numFmt w:val="decimal"/>
      <w:lvlText w:val="5. 3. %1  "/>
      <w:lvlJc w:val="left"/>
      <w:pPr>
        <w:ind w:left="0" w:firstLine="0"/>
      </w:pPr>
      <w:rPr>
        <w:rFonts w:hint="default"/>
        <w:b/>
        <w:bCs/>
        <w:sz w:val="21"/>
        <w:szCs w:val="21"/>
      </w:rPr>
    </w:lvl>
  </w:abstractNum>
  <w:abstractNum w:abstractNumId="1">
    <w:nsid w:val="99919AD6"/>
    <w:multiLevelType w:val="singleLevel"/>
    <w:tmpl w:val="99919AD6"/>
    <w:lvl w:ilvl="0" w:tentative="0">
      <w:start w:val="1"/>
      <w:numFmt w:val="decimal"/>
      <w:suff w:val="space"/>
      <w:lvlText w:val="7. 2. %1 "/>
      <w:lvlJc w:val="left"/>
      <w:pPr>
        <w:tabs>
          <w:tab w:val="left" w:pos="0"/>
        </w:tabs>
        <w:ind w:left="0" w:firstLine="0"/>
      </w:pPr>
      <w:rPr>
        <w:rFonts w:hint="default" w:ascii="Times New Roman" w:hAnsi="Times New Roman"/>
        <w:b/>
        <w:bCs/>
        <w:sz w:val="21"/>
        <w:szCs w:val="21"/>
      </w:rPr>
    </w:lvl>
  </w:abstractNum>
  <w:abstractNum w:abstractNumId="2">
    <w:nsid w:val="AC989ADC"/>
    <w:multiLevelType w:val="singleLevel"/>
    <w:tmpl w:val="AC989ADC"/>
    <w:lvl w:ilvl="0" w:tentative="0">
      <w:start w:val="1"/>
      <w:numFmt w:val="decimal"/>
      <w:suff w:val="space"/>
      <w:lvlText w:val="10. 2. %1 "/>
      <w:lvlJc w:val="left"/>
      <w:pPr>
        <w:ind w:left="0" w:firstLine="0"/>
      </w:pPr>
      <w:rPr>
        <w:rFonts w:hint="default" w:ascii="Times New Roman" w:hAnsi="Times New Roman"/>
        <w:b/>
        <w:bCs/>
        <w:sz w:val="21"/>
        <w:szCs w:val="21"/>
      </w:rPr>
    </w:lvl>
  </w:abstractNum>
  <w:abstractNum w:abstractNumId="3">
    <w:nsid w:val="B1B9C4DC"/>
    <w:multiLevelType w:val="singleLevel"/>
    <w:tmpl w:val="B1B9C4DC"/>
    <w:lvl w:ilvl="0" w:tentative="0">
      <w:start w:val="1"/>
      <w:numFmt w:val="decimal"/>
      <w:lvlText w:val="8. 4. %1  "/>
      <w:lvlJc w:val="left"/>
      <w:pPr>
        <w:ind w:left="0" w:firstLine="0"/>
      </w:pPr>
      <w:rPr>
        <w:rFonts w:hint="default" w:ascii="Times New Roman" w:hAnsi="Times New Roman"/>
        <w:b/>
        <w:bCs/>
        <w:sz w:val="21"/>
        <w:szCs w:val="21"/>
      </w:rPr>
    </w:lvl>
  </w:abstractNum>
  <w:abstractNum w:abstractNumId="4">
    <w:nsid w:val="BE6D2CB3"/>
    <w:multiLevelType w:val="singleLevel"/>
    <w:tmpl w:val="BE6D2CB3"/>
    <w:lvl w:ilvl="0" w:tentative="0">
      <w:start w:val="1"/>
      <w:numFmt w:val="decimal"/>
      <w:suff w:val="nothing"/>
      <w:lvlText w:val="6. 2. %1  "/>
      <w:lvlJc w:val="left"/>
      <w:pPr>
        <w:tabs>
          <w:tab w:val="left" w:pos="0"/>
        </w:tabs>
        <w:ind w:left="0" w:firstLine="0"/>
      </w:pPr>
      <w:rPr>
        <w:rFonts w:hint="default"/>
        <w:b/>
        <w:bCs/>
        <w:sz w:val="21"/>
        <w:szCs w:val="21"/>
      </w:rPr>
    </w:lvl>
  </w:abstractNum>
  <w:abstractNum w:abstractNumId="5">
    <w:nsid w:val="CD3FD370"/>
    <w:multiLevelType w:val="singleLevel"/>
    <w:tmpl w:val="CD3FD370"/>
    <w:lvl w:ilvl="0" w:tentative="0">
      <w:start w:val="1"/>
      <w:numFmt w:val="decimal"/>
      <w:lvlText w:val="10. 3. %1  "/>
      <w:lvlJc w:val="left"/>
      <w:pPr>
        <w:ind w:left="0" w:firstLine="0"/>
      </w:pPr>
      <w:rPr>
        <w:rFonts w:hint="default" w:ascii="Times New Roman" w:hAnsi="Times New Roman"/>
        <w:b/>
        <w:bCs/>
        <w:sz w:val="21"/>
        <w:szCs w:val="21"/>
      </w:rPr>
    </w:lvl>
  </w:abstractNum>
  <w:abstractNum w:abstractNumId="6">
    <w:nsid w:val="CD714931"/>
    <w:multiLevelType w:val="singleLevel"/>
    <w:tmpl w:val="CD714931"/>
    <w:lvl w:ilvl="0" w:tentative="0">
      <w:start w:val="1"/>
      <w:numFmt w:val="decimal"/>
      <w:suff w:val="space"/>
      <w:lvlText w:val="10. 4. %1 "/>
      <w:lvlJc w:val="left"/>
      <w:pPr>
        <w:ind w:left="0" w:firstLine="0"/>
      </w:pPr>
      <w:rPr>
        <w:rFonts w:hint="default" w:ascii="Times New Roman" w:hAnsi="Times New Roman"/>
        <w:b/>
        <w:bCs/>
        <w:sz w:val="21"/>
        <w:szCs w:val="21"/>
      </w:rPr>
    </w:lvl>
  </w:abstractNum>
  <w:abstractNum w:abstractNumId="7">
    <w:nsid w:val="DAE483A5"/>
    <w:multiLevelType w:val="singleLevel"/>
    <w:tmpl w:val="DAE483A5"/>
    <w:lvl w:ilvl="0" w:tentative="0">
      <w:start w:val="1"/>
      <w:numFmt w:val="decimal"/>
      <w:suff w:val="nothing"/>
      <w:lvlText w:val="3. 1. %1  "/>
      <w:lvlJc w:val="left"/>
      <w:pPr>
        <w:tabs>
          <w:tab w:val="left" w:pos="0"/>
        </w:tabs>
        <w:ind w:left="0" w:firstLine="0"/>
      </w:pPr>
      <w:rPr>
        <w:rFonts w:hint="default"/>
        <w:b/>
        <w:bCs/>
        <w:sz w:val="21"/>
        <w:szCs w:val="21"/>
      </w:rPr>
    </w:lvl>
  </w:abstractNum>
  <w:abstractNum w:abstractNumId="8">
    <w:nsid w:val="E032E8D9"/>
    <w:multiLevelType w:val="singleLevel"/>
    <w:tmpl w:val="E032E8D9"/>
    <w:lvl w:ilvl="0" w:tentative="0">
      <w:start w:val="1"/>
      <w:numFmt w:val="decimal"/>
      <w:suff w:val="nothing"/>
      <w:lvlText w:val="4. 3. %1  "/>
      <w:lvlJc w:val="left"/>
      <w:pPr>
        <w:tabs>
          <w:tab w:val="left" w:pos="0"/>
        </w:tabs>
        <w:ind w:left="0" w:firstLine="0"/>
      </w:pPr>
      <w:rPr>
        <w:rFonts w:hint="default"/>
        <w:b/>
        <w:bCs/>
        <w:sz w:val="21"/>
        <w:szCs w:val="21"/>
      </w:rPr>
    </w:lvl>
  </w:abstractNum>
  <w:abstractNum w:abstractNumId="9">
    <w:nsid w:val="EB74C93C"/>
    <w:multiLevelType w:val="singleLevel"/>
    <w:tmpl w:val="EB74C93C"/>
    <w:lvl w:ilvl="0" w:tentative="0">
      <w:start w:val="1"/>
      <w:numFmt w:val="decimal"/>
      <w:suff w:val="nothing"/>
      <w:lvlText w:val="5. 2. %1  "/>
      <w:lvlJc w:val="left"/>
      <w:pPr>
        <w:tabs>
          <w:tab w:val="left" w:pos="0"/>
        </w:tabs>
        <w:ind w:left="0" w:firstLine="0"/>
      </w:pPr>
      <w:rPr>
        <w:rFonts w:hint="default"/>
        <w:b/>
        <w:bCs/>
        <w:strike w:val="0"/>
        <w:color w:val="auto"/>
        <w:sz w:val="21"/>
        <w:szCs w:val="21"/>
      </w:rPr>
    </w:lvl>
  </w:abstractNum>
  <w:abstractNum w:abstractNumId="10">
    <w:nsid w:val="EFDDA831"/>
    <w:multiLevelType w:val="singleLevel"/>
    <w:tmpl w:val="EFDDA831"/>
    <w:lvl w:ilvl="0" w:tentative="0">
      <w:start w:val="1"/>
      <w:numFmt w:val="decimal"/>
      <w:suff w:val="space"/>
      <w:lvlText w:val="8. 1. %1 "/>
      <w:lvlJc w:val="left"/>
      <w:pPr>
        <w:tabs>
          <w:tab w:val="left" w:pos="0"/>
        </w:tabs>
        <w:ind w:left="0" w:firstLine="0"/>
      </w:pPr>
      <w:rPr>
        <w:rFonts w:hint="default" w:ascii="Times New Roman" w:hAnsi="Times New Roman"/>
        <w:b/>
        <w:bCs/>
        <w:sz w:val="21"/>
        <w:szCs w:val="21"/>
      </w:rPr>
    </w:lvl>
  </w:abstractNum>
  <w:abstractNum w:abstractNumId="11">
    <w:nsid w:val="F92703F9"/>
    <w:multiLevelType w:val="singleLevel"/>
    <w:tmpl w:val="F92703F9"/>
    <w:lvl w:ilvl="0" w:tentative="0">
      <w:start w:val="1"/>
      <w:numFmt w:val="decimal"/>
      <w:suff w:val="nothing"/>
      <w:lvlText w:val="3. 2. %1  "/>
      <w:lvlJc w:val="left"/>
      <w:pPr>
        <w:tabs>
          <w:tab w:val="left" w:pos="0"/>
        </w:tabs>
        <w:ind w:left="0" w:firstLine="0"/>
      </w:pPr>
      <w:rPr>
        <w:rFonts w:hint="default"/>
        <w:b/>
        <w:bCs/>
        <w:sz w:val="21"/>
        <w:szCs w:val="21"/>
      </w:rPr>
    </w:lvl>
  </w:abstractNum>
  <w:abstractNum w:abstractNumId="12">
    <w:nsid w:val="F98D5F22"/>
    <w:multiLevelType w:val="singleLevel"/>
    <w:tmpl w:val="F98D5F22"/>
    <w:lvl w:ilvl="0" w:tentative="0">
      <w:start w:val="1"/>
      <w:numFmt w:val="decimal"/>
      <w:suff w:val="nothing"/>
      <w:lvlText w:val="6. 1. %1  "/>
      <w:lvlJc w:val="left"/>
      <w:pPr>
        <w:tabs>
          <w:tab w:val="left" w:pos="0"/>
        </w:tabs>
        <w:ind w:left="0" w:firstLine="0"/>
      </w:pPr>
      <w:rPr>
        <w:rFonts w:hint="default"/>
        <w:b/>
        <w:bCs/>
        <w:sz w:val="21"/>
        <w:szCs w:val="21"/>
      </w:rPr>
    </w:lvl>
  </w:abstractNum>
  <w:abstractNum w:abstractNumId="13">
    <w:nsid w:val="FBE4D151"/>
    <w:multiLevelType w:val="singleLevel"/>
    <w:tmpl w:val="FBE4D151"/>
    <w:lvl w:ilvl="0" w:tentative="0">
      <w:start w:val="1"/>
      <w:numFmt w:val="decimal"/>
      <w:lvlText w:val="9. 2. %1  "/>
      <w:lvlJc w:val="left"/>
      <w:pPr>
        <w:ind w:left="440" w:hanging="440"/>
      </w:pPr>
      <w:rPr>
        <w:rFonts w:hint="default" w:ascii="Times New Roman" w:hAnsi="Times New Roman" w:eastAsia="宋体" w:cs="Times New Roman"/>
        <w:b/>
        <w:bCs/>
        <w:sz w:val="21"/>
        <w:szCs w:val="21"/>
      </w:rPr>
    </w:lvl>
  </w:abstractNum>
  <w:abstractNum w:abstractNumId="14">
    <w:nsid w:val="0650CE02"/>
    <w:multiLevelType w:val="singleLevel"/>
    <w:tmpl w:val="0650CE02"/>
    <w:lvl w:ilvl="0" w:tentative="0">
      <w:start w:val="1"/>
      <w:numFmt w:val="decimal"/>
      <w:suff w:val="space"/>
      <w:lvlText w:val="7. 3. %1 "/>
      <w:lvlJc w:val="left"/>
      <w:pPr>
        <w:tabs>
          <w:tab w:val="left" w:pos="0"/>
        </w:tabs>
        <w:ind w:left="0" w:firstLine="0"/>
      </w:pPr>
      <w:rPr>
        <w:rFonts w:hint="default" w:ascii="Times New Roman" w:hAnsi="Times New Roman"/>
        <w:b/>
        <w:bCs/>
        <w:sz w:val="21"/>
        <w:szCs w:val="21"/>
      </w:rPr>
    </w:lvl>
  </w:abstractNum>
  <w:abstractNum w:abstractNumId="15">
    <w:nsid w:val="08C52B42"/>
    <w:multiLevelType w:val="singleLevel"/>
    <w:tmpl w:val="08C52B42"/>
    <w:lvl w:ilvl="0" w:tentative="0">
      <w:start w:val="1"/>
      <w:numFmt w:val="decimal"/>
      <w:suff w:val="space"/>
      <w:lvlText w:val="7. 1. %1 "/>
      <w:lvlJc w:val="left"/>
      <w:pPr>
        <w:tabs>
          <w:tab w:val="left" w:pos="0"/>
        </w:tabs>
        <w:ind w:left="0" w:firstLine="0"/>
      </w:pPr>
      <w:rPr>
        <w:rFonts w:hint="default" w:ascii="Times New Roman" w:hAnsi="Times New Roman"/>
        <w:b/>
        <w:bCs/>
        <w:sz w:val="21"/>
        <w:szCs w:val="21"/>
      </w:rPr>
    </w:lvl>
  </w:abstractNum>
  <w:abstractNum w:abstractNumId="16">
    <w:nsid w:val="0B5D7E23"/>
    <w:multiLevelType w:val="singleLevel"/>
    <w:tmpl w:val="0B5D7E23"/>
    <w:lvl w:ilvl="0" w:tentative="0">
      <w:start w:val="1"/>
      <w:numFmt w:val="decimal"/>
      <w:suff w:val="nothing"/>
      <w:lvlText w:val="6. 3. %1  "/>
      <w:lvlJc w:val="left"/>
      <w:pPr>
        <w:tabs>
          <w:tab w:val="left" w:pos="0"/>
        </w:tabs>
        <w:ind w:left="0" w:firstLine="0"/>
      </w:pPr>
      <w:rPr>
        <w:rFonts w:hint="default"/>
        <w:b/>
        <w:bCs/>
        <w:sz w:val="21"/>
        <w:szCs w:val="21"/>
      </w:rPr>
    </w:lvl>
  </w:abstractNum>
  <w:abstractNum w:abstractNumId="17">
    <w:nsid w:val="10F5562D"/>
    <w:multiLevelType w:val="singleLevel"/>
    <w:tmpl w:val="10F5562D"/>
    <w:lvl w:ilvl="0" w:tentative="0">
      <w:start w:val="1"/>
      <w:numFmt w:val="decimal"/>
      <w:lvlText w:val="8. 5. %1  "/>
      <w:lvlJc w:val="left"/>
      <w:pPr>
        <w:ind w:left="0" w:firstLine="0"/>
      </w:pPr>
      <w:rPr>
        <w:rFonts w:hint="default" w:ascii="Times New Roman" w:hAnsi="Times New Roman"/>
        <w:b/>
        <w:bCs/>
        <w:sz w:val="21"/>
        <w:szCs w:val="21"/>
      </w:rPr>
    </w:lvl>
  </w:abstractNum>
  <w:abstractNum w:abstractNumId="18">
    <w:nsid w:val="145CA1B2"/>
    <w:multiLevelType w:val="multilevel"/>
    <w:tmpl w:val="145CA1B2"/>
    <w:lvl w:ilvl="0" w:tentative="0">
      <w:start w:val="1"/>
      <w:numFmt w:val="decimal"/>
      <w:suff w:val="nothing"/>
      <w:lvlText w:val="%1  "/>
      <w:lvlJc w:val="left"/>
      <w:pPr>
        <w:tabs>
          <w:tab w:val="left" w:pos="0"/>
        </w:tabs>
        <w:ind w:left="567" w:hanging="567"/>
      </w:pPr>
      <w:rPr>
        <w:rFonts w:hint="default"/>
        <w:b/>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9">
    <w:nsid w:val="1A541F59"/>
    <w:multiLevelType w:val="singleLevel"/>
    <w:tmpl w:val="1A541F59"/>
    <w:lvl w:ilvl="0" w:tentative="0">
      <w:start w:val="1"/>
      <w:numFmt w:val="decimal"/>
      <w:suff w:val="nothing"/>
      <w:lvlText w:val="6. 4. %1  "/>
      <w:lvlJc w:val="left"/>
      <w:pPr>
        <w:tabs>
          <w:tab w:val="left" w:pos="0"/>
        </w:tabs>
        <w:ind w:left="0" w:firstLine="0"/>
      </w:pPr>
      <w:rPr>
        <w:rFonts w:hint="default"/>
        <w:b/>
        <w:bCs/>
        <w:sz w:val="21"/>
        <w:szCs w:val="21"/>
      </w:rPr>
    </w:lvl>
  </w:abstractNum>
  <w:abstractNum w:abstractNumId="20">
    <w:nsid w:val="1C806BCE"/>
    <w:multiLevelType w:val="singleLevel"/>
    <w:tmpl w:val="1C806BCE"/>
    <w:lvl w:ilvl="0" w:tentative="0">
      <w:start w:val="1"/>
      <w:numFmt w:val="decimal"/>
      <w:suff w:val="nothing"/>
      <w:lvlText w:val="5. 1. %1  "/>
      <w:lvlJc w:val="left"/>
      <w:pPr>
        <w:tabs>
          <w:tab w:val="left" w:pos="0"/>
        </w:tabs>
        <w:ind w:left="0" w:firstLine="0"/>
      </w:pPr>
      <w:rPr>
        <w:rFonts w:hint="default"/>
        <w:b/>
        <w:bCs/>
        <w:sz w:val="21"/>
        <w:szCs w:val="21"/>
      </w:rPr>
    </w:lvl>
  </w:abstractNum>
  <w:abstractNum w:abstractNumId="21">
    <w:nsid w:val="21CB9F57"/>
    <w:multiLevelType w:val="singleLevel"/>
    <w:tmpl w:val="21CB9F57"/>
    <w:lvl w:ilvl="0" w:tentative="0">
      <w:start w:val="1"/>
      <w:numFmt w:val="decimal"/>
      <w:lvlText w:val="5. 5. %1  "/>
      <w:lvlJc w:val="left"/>
      <w:pPr>
        <w:ind w:left="0" w:firstLine="0"/>
      </w:pPr>
      <w:rPr>
        <w:rFonts w:hint="default" w:ascii="Times New Roman" w:hAnsi="Times New Roman"/>
        <w:b/>
        <w:bCs/>
        <w:strike w:val="0"/>
        <w:dstrike w:val="0"/>
        <w:sz w:val="21"/>
        <w:szCs w:val="21"/>
      </w:rPr>
    </w:lvl>
  </w:abstractNum>
  <w:abstractNum w:abstractNumId="22">
    <w:nsid w:val="239F09C7"/>
    <w:multiLevelType w:val="singleLevel"/>
    <w:tmpl w:val="239F09C7"/>
    <w:lvl w:ilvl="0" w:tentative="0">
      <w:start w:val="1"/>
      <w:numFmt w:val="decimal"/>
      <w:suff w:val="nothing"/>
      <w:lvlText w:val="2. 0. %1  "/>
      <w:lvlJc w:val="left"/>
      <w:pPr>
        <w:ind w:left="0" w:firstLine="0"/>
      </w:pPr>
      <w:rPr>
        <w:rFonts w:hint="default"/>
        <w:b/>
        <w:bCs/>
        <w:sz w:val="21"/>
        <w:szCs w:val="21"/>
      </w:rPr>
    </w:lvl>
  </w:abstractNum>
  <w:abstractNum w:abstractNumId="23">
    <w:nsid w:val="24504967"/>
    <w:multiLevelType w:val="singleLevel"/>
    <w:tmpl w:val="24504967"/>
    <w:lvl w:ilvl="0" w:tentative="0">
      <w:start w:val="1"/>
      <w:numFmt w:val="decimal"/>
      <w:lvlText w:val="5. 6. %1  "/>
      <w:lvlJc w:val="left"/>
      <w:pPr>
        <w:ind w:left="0" w:firstLine="0"/>
      </w:pPr>
      <w:rPr>
        <w:rFonts w:hint="default" w:ascii="Times New Roman" w:hAnsi="Times New Roman"/>
        <w:b/>
        <w:bCs/>
        <w:strike w:val="0"/>
        <w:dstrike w:val="0"/>
        <w:sz w:val="21"/>
        <w:szCs w:val="21"/>
      </w:rPr>
    </w:lvl>
  </w:abstractNum>
  <w:abstractNum w:abstractNumId="24">
    <w:nsid w:val="28765529"/>
    <w:multiLevelType w:val="singleLevel"/>
    <w:tmpl w:val="28765529"/>
    <w:lvl w:ilvl="0" w:tentative="0">
      <w:start w:val="1"/>
      <w:numFmt w:val="decimal"/>
      <w:suff w:val="nothing"/>
      <w:lvlText w:val="4. 1. %1  "/>
      <w:lvlJc w:val="left"/>
      <w:pPr>
        <w:tabs>
          <w:tab w:val="left" w:pos="0"/>
        </w:tabs>
        <w:ind w:left="0" w:firstLine="0"/>
      </w:pPr>
      <w:rPr>
        <w:rFonts w:hint="default"/>
        <w:b/>
        <w:bCs/>
        <w:strike w:val="0"/>
        <w:dstrike w:val="0"/>
        <w:sz w:val="21"/>
        <w:szCs w:val="21"/>
      </w:rPr>
    </w:lvl>
  </w:abstractNum>
  <w:abstractNum w:abstractNumId="25">
    <w:nsid w:val="2A8B4AE1"/>
    <w:multiLevelType w:val="singleLevel"/>
    <w:tmpl w:val="2A8B4AE1"/>
    <w:lvl w:ilvl="0" w:tentative="0">
      <w:start w:val="1"/>
      <w:numFmt w:val="decimal"/>
      <w:lvlText w:val="10. 1. %1 "/>
      <w:lvlJc w:val="left"/>
      <w:pPr>
        <w:ind w:left="440" w:hanging="440"/>
      </w:pPr>
      <w:rPr>
        <w:rFonts w:hint="default" w:ascii="Times New Roman" w:hAnsi="Times New Roman"/>
        <w:b/>
        <w:bCs/>
        <w:sz w:val="21"/>
        <w:szCs w:val="21"/>
      </w:rPr>
    </w:lvl>
  </w:abstractNum>
  <w:abstractNum w:abstractNumId="26">
    <w:nsid w:val="2AEB234C"/>
    <w:multiLevelType w:val="singleLevel"/>
    <w:tmpl w:val="2AEB234C"/>
    <w:lvl w:ilvl="0" w:tentative="0">
      <w:start w:val="1"/>
      <w:numFmt w:val="decimal"/>
      <w:suff w:val="space"/>
      <w:lvlText w:val="B. 0. %1 "/>
      <w:lvlJc w:val="left"/>
      <w:pPr>
        <w:tabs>
          <w:tab w:val="left" w:pos="0"/>
        </w:tabs>
        <w:ind w:left="0" w:firstLine="0"/>
      </w:pPr>
      <w:rPr>
        <w:rFonts w:hint="default" w:ascii="Times New Roman" w:hAnsi="Times New Roman"/>
        <w:b/>
        <w:bCs/>
        <w:sz w:val="21"/>
        <w:szCs w:val="21"/>
      </w:rPr>
    </w:lvl>
  </w:abstractNum>
  <w:abstractNum w:abstractNumId="27">
    <w:nsid w:val="2E8B4491"/>
    <w:multiLevelType w:val="multilevel"/>
    <w:tmpl w:val="2E8B4491"/>
    <w:lvl w:ilvl="0" w:tentative="0">
      <w:start w:val="1"/>
      <w:numFmt w:val="decimal"/>
      <w:suff w:val="space"/>
      <w:lvlText w:val="5. 4. %1 "/>
      <w:lvlJc w:val="left"/>
      <w:pPr>
        <w:ind w:left="0" w:firstLine="0"/>
      </w:pPr>
      <w:rPr>
        <w:rFonts w:hint="default" w:ascii="Times New Roman" w:hAnsi="Times New Roman"/>
        <w:b/>
        <w:bCs/>
        <w:sz w:val="21"/>
        <w:szCs w:val="21"/>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8">
    <w:nsid w:val="30616253"/>
    <w:multiLevelType w:val="singleLevel"/>
    <w:tmpl w:val="30616253"/>
    <w:lvl w:ilvl="0" w:tentative="0">
      <w:start w:val="1"/>
      <w:numFmt w:val="decimal"/>
      <w:lvlText w:val="9. 3. %1  "/>
      <w:lvlJc w:val="left"/>
      <w:pPr>
        <w:ind w:left="440" w:hanging="440"/>
      </w:pPr>
      <w:rPr>
        <w:rFonts w:hint="default" w:ascii="Times New Roman" w:hAnsi="Times New Roman"/>
        <w:b/>
        <w:bCs/>
        <w:sz w:val="21"/>
        <w:szCs w:val="21"/>
      </w:rPr>
    </w:lvl>
  </w:abstractNum>
  <w:abstractNum w:abstractNumId="29">
    <w:nsid w:val="38BA0A07"/>
    <w:multiLevelType w:val="singleLevel"/>
    <w:tmpl w:val="38BA0A07"/>
    <w:lvl w:ilvl="0" w:tentative="0">
      <w:start w:val="1"/>
      <w:numFmt w:val="decimal"/>
      <w:lvlText w:val="8. 6. %1  "/>
      <w:lvlJc w:val="left"/>
      <w:pPr>
        <w:ind w:left="0" w:firstLine="0"/>
      </w:pPr>
      <w:rPr>
        <w:rFonts w:hint="default" w:ascii="Times New Roman" w:hAnsi="Times New Roman"/>
        <w:b/>
        <w:bCs/>
        <w:sz w:val="21"/>
        <w:szCs w:val="21"/>
      </w:rPr>
    </w:lvl>
  </w:abstractNum>
  <w:abstractNum w:abstractNumId="30">
    <w:nsid w:val="3B731F77"/>
    <w:multiLevelType w:val="singleLevel"/>
    <w:tmpl w:val="3B731F77"/>
    <w:lvl w:ilvl="0" w:tentative="0">
      <w:start w:val="1"/>
      <w:numFmt w:val="decimal"/>
      <w:suff w:val="space"/>
      <w:lvlText w:val="9. 1. %1 "/>
      <w:lvlJc w:val="left"/>
      <w:pPr>
        <w:tabs>
          <w:tab w:val="left" w:pos="0"/>
        </w:tabs>
        <w:ind w:left="0" w:firstLine="0"/>
      </w:pPr>
      <w:rPr>
        <w:rFonts w:hint="default" w:ascii="Times New Roman" w:hAnsi="Times New Roman"/>
        <w:b/>
        <w:bCs/>
        <w:sz w:val="21"/>
        <w:szCs w:val="21"/>
      </w:rPr>
    </w:lvl>
  </w:abstractNum>
  <w:abstractNum w:abstractNumId="31">
    <w:nsid w:val="47635E9C"/>
    <w:multiLevelType w:val="multilevel"/>
    <w:tmpl w:val="47635E9C"/>
    <w:lvl w:ilvl="0" w:tentative="0">
      <w:start w:val="1"/>
      <w:numFmt w:val="decimal"/>
      <w:suff w:val="space"/>
      <w:lvlText w:val="12. 4. %1 "/>
      <w:lvlJc w:val="left"/>
      <w:pPr>
        <w:tabs>
          <w:tab w:val="left" w:pos="0"/>
        </w:tabs>
        <w:ind w:left="0" w:firstLine="0"/>
      </w:pPr>
      <w:rPr>
        <w:rFonts w:hint="default" w:ascii="Times New Roman" w:hAnsi="Times New Roman" w:cs="Times New Roman"/>
        <w:b/>
        <w:bCs/>
        <w:sz w:val="21"/>
        <w:szCs w:val="21"/>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2">
    <w:nsid w:val="477F9ED8"/>
    <w:multiLevelType w:val="singleLevel"/>
    <w:tmpl w:val="477F9ED8"/>
    <w:lvl w:ilvl="0" w:tentative="0">
      <w:start w:val="1"/>
      <w:numFmt w:val="decimal"/>
      <w:lvlText w:val="8. 2. %1  "/>
      <w:lvlJc w:val="left"/>
      <w:pPr>
        <w:ind w:left="0" w:firstLine="0"/>
      </w:pPr>
      <w:rPr>
        <w:rFonts w:hint="default" w:ascii="Times New Roman" w:hAnsi="Times New Roman"/>
        <w:b/>
        <w:bCs/>
        <w:sz w:val="21"/>
        <w:szCs w:val="21"/>
      </w:rPr>
    </w:lvl>
  </w:abstractNum>
  <w:abstractNum w:abstractNumId="33">
    <w:nsid w:val="4E22E73E"/>
    <w:multiLevelType w:val="singleLevel"/>
    <w:tmpl w:val="4E22E73E"/>
    <w:lvl w:ilvl="0" w:tentative="0">
      <w:start w:val="1"/>
      <w:numFmt w:val="decimal"/>
      <w:suff w:val="nothing"/>
      <w:lvlText w:val="4. 4. %1  "/>
      <w:lvlJc w:val="left"/>
      <w:pPr>
        <w:tabs>
          <w:tab w:val="left" w:pos="0"/>
        </w:tabs>
        <w:ind w:left="0" w:firstLine="0"/>
      </w:pPr>
      <w:rPr>
        <w:rFonts w:hint="default"/>
        <w:b/>
        <w:bCs/>
        <w:sz w:val="21"/>
        <w:szCs w:val="21"/>
      </w:rPr>
    </w:lvl>
  </w:abstractNum>
  <w:abstractNum w:abstractNumId="34">
    <w:nsid w:val="55AFB311"/>
    <w:multiLevelType w:val="singleLevel"/>
    <w:tmpl w:val="55AFB311"/>
    <w:lvl w:ilvl="0" w:tentative="0">
      <w:start w:val="1"/>
      <w:numFmt w:val="decimal"/>
      <w:suff w:val="nothing"/>
      <w:lvlText w:val="1. 0. %1  "/>
      <w:lvlJc w:val="left"/>
      <w:pPr>
        <w:tabs>
          <w:tab w:val="left" w:pos="0"/>
        </w:tabs>
        <w:ind w:left="0" w:firstLine="0"/>
      </w:pPr>
      <w:rPr>
        <w:rFonts w:hint="default"/>
        <w:b/>
        <w:bCs/>
        <w:sz w:val="21"/>
        <w:szCs w:val="21"/>
      </w:rPr>
    </w:lvl>
  </w:abstractNum>
  <w:abstractNum w:abstractNumId="35">
    <w:nsid w:val="5A9D0083"/>
    <w:multiLevelType w:val="singleLevel"/>
    <w:tmpl w:val="5A9D0083"/>
    <w:lvl w:ilvl="0" w:tentative="0">
      <w:start w:val="1"/>
      <w:numFmt w:val="decimal"/>
      <w:suff w:val="space"/>
      <w:lvlText w:val="12. 2. %1 "/>
      <w:lvlJc w:val="left"/>
      <w:pPr>
        <w:tabs>
          <w:tab w:val="left" w:pos="0"/>
        </w:tabs>
        <w:ind w:left="0" w:firstLine="0"/>
      </w:pPr>
      <w:rPr>
        <w:rFonts w:hint="default" w:ascii="Times New Roman" w:hAnsi="Times New Roman"/>
        <w:b/>
        <w:bCs/>
        <w:sz w:val="21"/>
        <w:szCs w:val="21"/>
      </w:rPr>
    </w:lvl>
  </w:abstractNum>
  <w:abstractNum w:abstractNumId="36">
    <w:nsid w:val="5F163ECE"/>
    <w:multiLevelType w:val="singleLevel"/>
    <w:tmpl w:val="5F163ECE"/>
    <w:lvl w:ilvl="0" w:tentative="0">
      <w:start w:val="1"/>
      <w:numFmt w:val="decimal"/>
      <w:suff w:val="nothing"/>
      <w:lvlText w:val="4. 2. %1  "/>
      <w:lvlJc w:val="left"/>
      <w:pPr>
        <w:tabs>
          <w:tab w:val="left" w:pos="0"/>
        </w:tabs>
        <w:ind w:left="0" w:firstLine="0"/>
      </w:pPr>
      <w:rPr>
        <w:rFonts w:hint="default"/>
        <w:b/>
        <w:bCs/>
        <w:sz w:val="21"/>
        <w:szCs w:val="21"/>
      </w:rPr>
    </w:lvl>
  </w:abstractNum>
  <w:abstractNum w:abstractNumId="37">
    <w:nsid w:val="6A4367A7"/>
    <w:multiLevelType w:val="multilevel"/>
    <w:tmpl w:val="6A4367A7"/>
    <w:lvl w:ilvl="0" w:tentative="0">
      <w:start w:val="1"/>
      <w:numFmt w:val="decimal"/>
      <w:suff w:val="space"/>
      <w:lvlText w:val="12. 5. %1 "/>
      <w:lvlJc w:val="left"/>
      <w:pPr>
        <w:tabs>
          <w:tab w:val="left" w:pos="0"/>
        </w:tabs>
        <w:ind w:left="0" w:firstLine="0"/>
      </w:pPr>
      <w:rPr>
        <w:rFonts w:hint="default" w:ascii="Times New Roman" w:hAnsi="Times New Roman" w:cs="Times New Roman"/>
        <w:b/>
        <w:bCs/>
        <w:sz w:val="21"/>
        <w:szCs w:val="21"/>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8">
    <w:nsid w:val="71007ABF"/>
    <w:multiLevelType w:val="singleLevel"/>
    <w:tmpl w:val="71007ABF"/>
    <w:lvl w:ilvl="0" w:tentative="0">
      <w:start w:val="1"/>
      <w:numFmt w:val="decimal"/>
      <w:suff w:val="space"/>
      <w:lvlText w:val="11. 1. %1 "/>
      <w:lvlJc w:val="left"/>
      <w:pPr>
        <w:tabs>
          <w:tab w:val="left" w:pos="0"/>
        </w:tabs>
        <w:ind w:left="0" w:firstLine="0"/>
      </w:pPr>
      <w:rPr>
        <w:rFonts w:hint="default" w:ascii="Times New Roman" w:hAnsi="Times New Roman"/>
        <w:b/>
        <w:bCs/>
        <w:sz w:val="21"/>
        <w:szCs w:val="21"/>
      </w:rPr>
    </w:lvl>
  </w:abstractNum>
  <w:abstractNum w:abstractNumId="39">
    <w:nsid w:val="73E3B00C"/>
    <w:multiLevelType w:val="singleLevel"/>
    <w:tmpl w:val="73E3B00C"/>
    <w:lvl w:ilvl="0" w:tentative="0">
      <w:start w:val="1"/>
      <w:numFmt w:val="decimal"/>
      <w:suff w:val="nothing"/>
      <w:lvlText w:val="3. 3. %1  "/>
      <w:lvlJc w:val="left"/>
      <w:pPr>
        <w:tabs>
          <w:tab w:val="left" w:pos="0"/>
        </w:tabs>
        <w:ind w:left="0" w:firstLine="0"/>
      </w:pPr>
      <w:rPr>
        <w:rFonts w:hint="default"/>
        <w:b/>
        <w:bCs/>
        <w:sz w:val="21"/>
        <w:szCs w:val="21"/>
      </w:rPr>
    </w:lvl>
  </w:abstractNum>
  <w:abstractNum w:abstractNumId="40">
    <w:nsid w:val="74241460"/>
    <w:multiLevelType w:val="singleLevel"/>
    <w:tmpl w:val="74241460"/>
    <w:lvl w:ilvl="0" w:tentative="0">
      <w:start w:val="1"/>
      <w:numFmt w:val="decimal"/>
      <w:suff w:val="space"/>
      <w:lvlText w:val="12. 3. %1 "/>
      <w:lvlJc w:val="left"/>
      <w:pPr>
        <w:tabs>
          <w:tab w:val="left" w:pos="0"/>
        </w:tabs>
        <w:ind w:left="0" w:firstLine="0"/>
      </w:pPr>
      <w:rPr>
        <w:rFonts w:hint="default" w:ascii="Times New Roman" w:hAnsi="Times New Roman"/>
        <w:b/>
        <w:bCs/>
        <w:sz w:val="21"/>
        <w:szCs w:val="21"/>
      </w:rPr>
    </w:lvl>
  </w:abstractNum>
  <w:abstractNum w:abstractNumId="41">
    <w:nsid w:val="78BE59BE"/>
    <w:multiLevelType w:val="multilevel"/>
    <w:tmpl w:val="78BE59BE"/>
    <w:lvl w:ilvl="0" w:tentative="0">
      <w:start w:val="1"/>
      <w:numFmt w:val="decimal"/>
      <w:suff w:val="space"/>
      <w:lvlText w:val="12. 1. %1 "/>
      <w:lvlJc w:val="left"/>
      <w:pPr>
        <w:tabs>
          <w:tab w:val="left" w:pos="0"/>
        </w:tabs>
        <w:ind w:left="0" w:firstLine="0"/>
      </w:pPr>
      <w:rPr>
        <w:rFonts w:hint="default" w:ascii="Times New Roman" w:hAnsi="Times New Roman" w:cs="Times New Roman"/>
        <w:b/>
        <w:bCs/>
        <w:sz w:val="21"/>
        <w:szCs w:val="21"/>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2">
    <w:nsid w:val="7B0169FD"/>
    <w:multiLevelType w:val="singleLevel"/>
    <w:tmpl w:val="7B0169FD"/>
    <w:lvl w:ilvl="0" w:tentative="0">
      <w:start w:val="1"/>
      <w:numFmt w:val="decimal"/>
      <w:suff w:val="space"/>
      <w:lvlText w:val="8. 3. %1 "/>
      <w:lvlJc w:val="left"/>
      <w:pPr>
        <w:ind w:left="0" w:firstLine="0"/>
      </w:pPr>
      <w:rPr>
        <w:rFonts w:hint="default" w:ascii="Times New Roman" w:hAnsi="Times New Roman"/>
        <w:b/>
        <w:bCs/>
        <w:sz w:val="21"/>
        <w:szCs w:val="21"/>
      </w:rPr>
    </w:lvl>
  </w:abstractNum>
  <w:num w:numId="1">
    <w:abstractNumId w:val="34"/>
  </w:num>
  <w:num w:numId="2">
    <w:abstractNumId w:val="22"/>
  </w:num>
  <w:num w:numId="3">
    <w:abstractNumId w:val="7"/>
  </w:num>
  <w:num w:numId="4">
    <w:abstractNumId w:val="11"/>
  </w:num>
  <w:num w:numId="5">
    <w:abstractNumId w:val="39"/>
  </w:num>
  <w:num w:numId="6">
    <w:abstractNumId w:val="24"/>
  </w:num>
  <w:num w:numId="7">
    <w:abstractNumId w:val="36"/>
  </w:num>
  <w:num w:numId="8">
    <w:abstractNumId w:val="8"/>
  </w:num>
  <w:num w:numId="9">
    <w:abstractNumId w:val="33"/>
  </w:num>
  <w:num w:numId="10">
    <w:abstractNumId w:val="20"/>
  </w:num>
  <w:num w:numId="11">
    <w:abstractNumId w:val="9"/>
  </w:num>
  <w:num w:numId="12">
    <w:abstractNumId w:val="0"/>
  </w:num>
  <w:num w:numId="13">
    <w:abstractNumId w:val="27"/>
  </w:num>
  <w:num w:numId="14">
    <w:abstractNumId w:val="21"/>
  </w:num>
  <w:num w:numId="15">
    <w:abstractNumId w:val="23"/>
  </w:num>
  <w:num w:numId="16">
    <w:abstractNumId w:val="12"/>
  </w:num>
  <w:num w:numId="17">
    <w:abstractNumId w:val="4"/>
  </w:num>
  <w:num w:numId="18">
    <w:abstractNumId w:val="16"/>
  </w:num>
  <w:num w:numId="19">
    <w:abstractNumId w:val="19"/>
  </w:num>
  <w:num w:numId="20">
    <w:abstractNumId w:val="15"/>
  </w:num>
  <w:num w:numId="21">
    <w:abstractNumId w:val="1"/>
  </w:num>
  <w:num w:numId="22">
    <w:abstractNumId w:val="14"/>
  </w:num>
  <w:num w:numId="23">
    <w:abstractNumId w:val="10"/>
  </w:num>
  <w:num w:numId="24">
    <w:abstractNumId w:val="32"/>
  </w:num>
  <w:num w:numId="25">
    <w:abstractNumId w:val="42"/>
  </w:num>
  <w:num w:numId="26">
    <w:abstractNumId w:val="3"/>
  </w:num>
  <w:num w:numId="27">
    <w:abstractNumId w:val="17"/>
  </w:num>
  <w:num w:numId="28">
    <w:abstractNumId w:val="29"/>
  </w:num>
  <w:num w:numId="29">
    <w:abstractNumId w:val="30"/>
  </w:num>
  <w:num w:numId="30">
    <w:abstractNumId w:val="13"/>
  </w:num>
  <w:num w:numId="31">
    <w:abstractNumId w:val="28"/>
  </w:num>
  <w:num w:numId="32">
    <w:abstractNumId w:val="25"/>
  </w:num>
  <w:num w:numId="33">
    <w:abstractNumId w:val="2"/>
  </w:num>
  <w:num w:numId="34">
    <w:abstractNumId w:val="5"/>
  </w:num>
  <w:num w:numId="35">
    <w:abstractNumId w:val="6"/>
  </w:num>
  <w:num w:numId="36">
    <w:abstractNumId w:val="38"/>
  </w:num>
  <w:num w:numId="3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num>
  <w:num w:numId="39">
    <w:abstractNumId w:val="40"/>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0"/>
  <w:evenAndOddHeaders w:val="1"/>
  <w:drawingGridHorizontalSpacing w:val="221"/>
  <w:drawingGridVerticalSpacing w:val="333"/>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sDQyNze1MDMwNrEwMzRR0lEKTi0uzszPAykwrAUAuJHaTiwAAAA="/>
    <w:docVar w:name="commondata" w:val="eyJoZGlkIjoiMzc5NGYyY2IyNDUxMWEwNDkzNmNkMTBmNDkyMjU5NzEifQ=="/>
    <w:docVar w:name="KSO_WPS_MARK_KEY" w:val="6fb4ae8d-39c2-4ddd-96a2-499d428516f8"/>
  </w:docVars>
  <w:rsids>
    <w:rsidRoot w:val="00172A27"/>
    <w:rsid w:val="0000089D"/>
    <w:rsid w:val="00001624"/>
    <w:rsid w:val="00001C98"/>
    <w:rsid w:val="000029A3"/>
    <w:rsid w:val="000037F2"/>
    <w:rsid w:val="000046F4"/>
    <w:rsid w:val="00005136"/>
    <w:rsid w:val="00006280"/>
    <w:rsid w:val="00007956"/>
    <w:rsid w:val="00010951"/>
    <w:rsid w:val="000121A4"/>
    <w:rsid w:val="000132C3"/>
    <w:rsid w:val="00013371"/>
    <w:rsid w:val="000147ED"/>
    <w:rsid w:val="00015285"/>
    <w:rsid w:val="0001565E"/>
    <w:rsid w:val="0001792A"/>
    <w:rsid w:val="00020A65"/>
    <w:rsid w:val="00021796"/>
    <w:rsid w:val="000224C7"/>
    <w:rsid w:val="000225D2"/>
    <w:rsid w:val="000234EF"/>
    <w:rsid w:val="000241EB"/>
    <w:rsid w:val="00025516"/>
    <w:rsid w:val="00026923"/>
    <w:rsid w:val="000274D7"/>
    <w:rsid w:val="000279FE"/>
    <w:rsid w:val="000302E4"/>
    <w:rsid w:val="000314A3"/>
    <w:rsid w:val="00031929"/>
    <w:rsid w:val="00031BF6"/>
    <w:rsid w:val="00032019"/>
    <w:rsid w:val="000329D2"/>
    <w:rsid w:val="000334DD"/>
    <w:rsid w:val="00033CE3"/>
    <w:rsid w:val="00033E79"/>
    <w:rsid w:val="00033F88"/>
    <w:rsid w:val="00040B1C"/>
    <w:rsid w:val="00042DC3"/>
    <w:rsid w:val="00043347"/>
    <w:rsid w:val="000433FB"/>
    <w:rsid w:val="00044AEA"/>
    <w:rsid w:val="00044CB2"/>
    <w:rsid w:val="00045502"/>
    <w:rsid w:val="00045FC0"/>
    <w:rsid w:val="000463B9"/>
    <w:rsid w:val="00046418"/>
    <w:rsid w:val="00046FEF"/>
    <w:rsid w:val="0005043D"/>
    <w:rsid w:val="00050B5A"/>
    <w:rsid w:val="00050F30"/>
    <w:rsid w:val="000510F4"/>
    <w:rsid w:val="000517E1"/>
    <w:rsid w:val="000529D0"/>
    <w:rsid w:val="00053BB3"/>
    <w:rsid w:val="00055734"/>
    <w:rsid w:val="00055FC3"/>
    <w:rsid w:val="000568A3"/>
    <w:rsid w:val="0005696F"/>
    <w:rsid w:val="0005770D"/>
    <w:rsid w:val="0006062B"/>
    <w:rsid w:val="000607EF"/>
    <w:rsid w:val="00060E63"/>
    <w:rsid w:val="0006137B"/>
    <w:rsid w:val="000618B4"/>
    <w:rsid w:val="000627E2"/>
    <w:rsid w:val="00062909"/>
    <w:rsid w:val="000636B7"/>
    <w:rsid w:val="000639A5"/>
    <w:rsid w:val="00063A73"/>
    <w:rsid w:val="0006425A"/>
    <w:rsid w:val="00064603"/>
    <w:rsid w:val="00064639"/>
    <w:rsid w:val="00064B00"/>
    <w:rsid w:val="0006627A"/>
    <w:rsid w:val="00066C8D"/>
    <w:rsid w:val="000700D0"/>
    <w:rsid w:val="00070DD9"/>
    <w:rsid w:val="00070DE6"/>
    <w:rsid w:val="00071671"/>
    <w:rsid w:val="00071F37"/>
    <w:rsid w:val="0007229E"/>
    <w:rsid w:val="0007275B"/>
    <w:rsid w:val="0007423D"/>
    <w:rsid w:val="000753D7"/>
    <w:rsid w:val="00075D7D"/>
    <w:rsid w:val="00075EA2"/>
    <w:rsid w:val="00076125"/>
    <w:rsid w:val="000767F5"/>
    <w:rsid w:val="00076CA7"/>
    <w:rsid w:val="00077E82"/>
    <w:rsid w:val="00080694"/>
    <w:rsid w:val="00080E69"/>
    <w:rsid w:val="00082CB7"/>
    <w:rsid w:val="00082E73"/>
    <w:rsid w:val="000833EE"/>
    <w:rsid w:val="000835D0"/>
    <w:rsid w:val="00084478"/>
    <w:rsid w:val="000845CF"/>
    <w:rsid w:val="00085220"/>
    <w:rsid w:val="000858EA"/>
    <w:rsid w:val="00086B3A"/>
    <w:rsid w:val="00090BEB"/>
    <w:rsid w:val="00091059"/>
    <w:rsid w:val="000918F4"/>
    <w:rsid w:val="00091BB7"/>
    <w:rsid w:val="000924F7"/>
    <w:rsid w:val="00094671"/>
    <w:rsid w:val="00094FEC"/>
    <w:rsid w:val="00095C3D"/>
    <w:rsid w:val="00096B26"/>
    <w:rsid w:val="000977E4"/>
    <w:rsid w:val="000A09B9"/>
    <w:rsid w:val="000A0BAA"/>
    <w:rsid w:val="000A146D"/>
    <w:rsid w:val="000A295E"/>
    <w:rsid w:val="000A4376"/>
    <w:rsid w:val="000A4809"/>
    <w:rsid w:val="000A4C8B"/>
    <w:rsid w:val="000A582D"/>
    <w:rsid w:val="000A5B18"/>
    <w:rsid w:val="000A5CCD"/>
    <w:rsid w:val="000A6461"/>
    <w:rsid w:val="000A698C"/>
    <w:rsid w:val="000A6F55"/>
    <w:rsid w:val="000A6FBF"/>
    <w:rsid w:val="000A712E"/>
    <w:rsid w:val="000B3582"/>
    <w:rsid w:val="000B4B22"/>
    <w:rsid w:val="000B5277"/>
    <w:rsid w:val="000B5D30"/>
    <w:rsid w:val="000B6404"/>
    <w:rsid w:val="000B65EC"/>
    <w:rsid w:val="000B68E3"/>
    <w:rsid w:val="000B6CA6"/>
    <w:rsid w:val="000B7266"/>
    <w:rsid w:val="000C02E7"/>
    <w:rsid w:val="000C0822"/>
    <w:rsid w:val="000C19E3"/>
    <w:rsid w:val="000C1A3D"/>
    <w:rsid w:val="000C2ADA"/>
    <w:rsid w:val="000C3866"/>
    <w:rsid w:val="000C4323"/>
    <w:rsid w:val="000C4341"/>
    <w:rsid w:val="000C60B9"/>
    <w:rsid w:val="000C64FF"/>
    <w:rsid w:val="000C7262"/>
    <w:rsid w:val="000C7C82"/>
    <w:rsid w:val="000D05C6"/>
    <w:rsid w:val="000D066D"/>
    <w:rsid w:val="000D1294"/>
    <w:rsid w:val="000D15A0"/>
    <w:rsid w:val="000D15D6"/>
    <w:rsid w:val="000D2278"/>
    <w:rsid w:val="000D2A96"/>
    <w:rsid w:val="000D2DDC"/>
    <w:rsid w:val="000D3040"/>
    <w:rsid w:val="000D3DAE"/>
    <w:rsid w:val="000D4669"/>
    <w:rsid w:val="000D4A7F"/>
    <w:rsid w:val="000D7C6D"/>
    <w:rsid w:val="000E10A5"/>
    <w:rsid w:val="000E1226"/>
    <w:rsid w:val="000E1422"/>
    <w:rsid w:val="000E1D0C"/>
    <w:rsid w:val="000E1F2A"/>
    <w:rsid w:val="000E20EA"/>
    <w:rsid w:val="000E2737"/>
    <w:rsid w:val="000E27B7"/>
    <w:rsid w:val="000E35AE"/>
    <w:rsid w:val="000E3692"/>
    <w:rsid w:val="000E3BA8"/>
    <w:rsid w:val="000E480B"/>
    <w:rsid w:val="000E53FC"/>
    <w:rsid w:val="000E5F1D"/>
    <w:rsid w:val="000E63AC"/>
    <w:rsid w:val="000E6846"/>
    <w:rsid w:val="000F0FE5"/>
    <w:rsid w:val="000F1210"/>
    <w:rsid w:val="000F15FB"/>
    <w:rsid w:val="000F3310"/>
    <w:rsid w:val="000F4B53"/>
    <w:rsid w:val="000F4B94"/>
    <w:rsid w:val="000F4BF6"/>
    <w:rsid w:val="000F6479"/>
    <w:rsid w:val="000F6564"/>
    <w:rsid w:val="000F75F5"/>
    <w:rsid w:val="001002F1"/>
    <w:rsid w:val="00101450"/>
    <w:rsid w:val="0010459B"/>
    <w:rsid w:val="001048B3"/>
    <w:rsid w:val="00105479"/>
    <w:rsid w:val="00105CB1"/>
    <w:rsid w:val="00107A8C"/>
    <w:rsid w:val="001107B5"/>
    <w:rsid w:val="00110C5F"/>
    <w:rsid w:val="0011268A"/>
    <w:rsid w:val="0011288F"/>
    <w:rsid w:val="0011366A"/>
    <w:rsid w:val="0011479F"/>
    <w:rsid w:val="001150F8"/>
    <w:rsid w:val="0011522E"/>
    <w:rsid w:val="00115B9C"/>
    <w:rsid w:val="00117090"/>
    <w:rsid w:val="001171AD"/>
    <w:rsid w:val="0011774D"/>
    <w:rsid w:val="00117BA4"/>
    <w:rsid w:val="00122FDB"/>
    <w:rsid w:val="00123472"/>
    <w:rsid w:val="00123905"/>
    <w:rsid w:val="00126AAD"/>
    <w:rsid w:val="00127A2D"/>
    <w:rsid w:val="00127C94"/>
    <w:rsid w:val="001303A9"/>
    <w:rsid w:val="00130A51"/>
    <w:rsid w:val="00132813"/>
    <w:rsid w:val="00132D80"/>
    <w:rsid w:val="00133592"/>
    <w:rsid w:val="00133FCF"/>
    <w:rsid w:val="0013419C"/>
    <w:rsid w:val="001341E4"/>
    <w:rsid w:val="00135235"/>
    <w:rsid w:val="00135C43"/>
    <w:rsid w:val="00136FBC"/>
    <w:rsid w:val="001370EA"/>
    <w:rsid w:val="001375AE"/>
    <w:rsid w:val="00140512"/>
    <w:rsid w:val="00140E0E"/>
    <w:rsid w:val="00141996"/>
    <w:rsid w:val="00141E96"/>
    <w:rsid w:val="00142249"/>
    <w:rsid w:val="00142AE5"/>
    <w:rsid w:val="00143A5E"/>
    <w:rsid w:val="00143BEE"/>
    <w:rsid w:val="001450B2"/>
    <w:rsid w:val="00145D0C"/>
    <w:rsid w:val="00146985"/>
    <w:rsid w:val="00147D9A"/>
    <w:rsid w:val="0015077D"/>
    <w:rsid w:val="00150A4A"/>
    <w:rsid w:val="00150C5D"/>
    <w:rsid w:val="0015108A"/>
    <w:rsid w:val="00151B31"/>
    <w:rsid w:val="00151CB4"/>
    <w:rsid w:val="001526C9"/>
    <w:rsid w:val="0015281C"/>
    <w:rsid w:val="00153306"/>
    <w:rsid w:val="0015430B"/>
    <w:rsid w:val="001555A2"/>
    <w:rsid w:val="00156732"/>
    <w:rsid w:val="00156B4D"/>
    <w:rsid w:val="00157253"/>
    <w:rsid w:val="001579AA"/>
    <w:rsid w:val="001603E9"/>
    <w:rsid w:val="00161673"/>
    <w:rsid w:val="00163174"/>
    <w:rsid w:val="001632A6"/>
    <w:rsid w:val="0016372D"/>
    <w:rsid w:val="0016433B"/>
    <w:rsid w:val="00164C66"/>
    <w:rsid w:val="00164D32"/>
    <w:rsid w:val="001659D6"/>
    <w:rsid w:val="00166C40"/>
    <w:rsid w:val="00167416"/>
    <w:rsid w:val="00167D30"/>
    <w:rsid w:val="00170D1A"/>
    <w:rsid w:val="00171B53"/>
    <w:rsid w:val="00172A27"/>
    <w:rsid w:val="00172F88"/>
    <w:rsid w:val="00173751"/>
    <w:rsid w:val="001739C4"/>
    <w:rsid w:val="00174C1D"/>
    <w:rsid w:val="0017539B"/>
    <w:rsid w:val="00175683"/>
    <w:rsid w:val="00175BB5"/>
    <w:rsid w:val="00175E8D"/>
    <w:rsid w:val="001778DF"/>
    <w:rsid w:val="00177EC9"/>
    <w:rsid w:val="00181995"/>
    <w:rsid w:val="00181B00"/>
    <w:rsid w:val="00181C7A"/>
    <w:rsid w:val="00182EB0"/>
    <w:rsid w:val="001832C6"/>
    <w:rsid w:val="00183D9A"/>
    <w:rsid w:val="00185C34"/>
    <w:rsid w:val="00185F0F"/>
    <w:rsid w:val="001860A7"/>
    <w:rsid w:val="0018641D"/>
    <w:rsid w:val="0019010C"/>
    <w:rsid w:val="00190F64"/>
    <w:rsid w:val="00191093"/>
    <w:rsid w:val="00191B28"/>
    <w:rsid w:val="00192AA6"/>
    <w:rsid w:val="001949D8"/>
    <w:rsid w:val="00194E26"/>
    <w:rsid w:val="001950D9"/>
    <w:rsid w:val="00195D93"/>
    <w:rsid w:val="00196124"/>
    <w:rsid w:val="001971E8"/>
    <w:rsid w:val="0019761A"/>
    <w:rsid w:val="00197B4E"/>
    <w:rsid w:val="001A2024"/>
    <w:rsid w:val="001A30F7"/>
    <w:rsid w:val="001A3792"/>
    <w:rsid w:val="001A3C03"/>
    <w:rsid w:val="001A50DC"/>
    <w:rsid w:val="001A7801"/>
    <w:rsid w:val="001A7E20"/>
    <w:rsid w:val="001B0317"/>
    <w:rsid w:val="001B0DFD"/>
    <w:rsid w:val="001B1784"/>
    <w:rsid w:val="001B17E8"/>
    <w:rsid w:val="001B18D0"/>
    <w:rsid w:val="001B2483"/>
    <w:rsid w:val="001B2E0A"/>
    <w:rsid w:val="001B2F0D"/>
    <w:rsid w:val="001B3181"/>
    <w:rsid w:val="001B3431"/>
    <w:rsid w:val="001B5EF3"/>
    <w:rsid w:val="001B7572"/>
    <w:rsid w:val="001B7B72"/>
    <w:rsid w:val="001C0598"/>
    <w:rsid w:val="001C0D19"/>
    <w:rsid w:val="001C1D18"/>
    <w:rsid w:val="001C2B48"/>
    <w:rsid w:val="001C555B"/>
    <w:rsid w:val="001C5C25"/>
    <w:rsid w:val="001C6835"/>
    <w:rsid w:val="001C742D"/>
    <w:rsid w:val="001D0680"/>
    <w:rsid w:val="001D0FD1"/>
    <w:rsid w:val="001D1F29"/>
    <w:rsid w:val="001D22D3"/>
    <w:rsid w:val="001D22E3"/>
    <w:rsid w:val="001D2B34"/>
    <w:rsid w:val="001D35F3"/>
    <w:rsid w:val="001D3602"/>
    <w:rsid w:val="001D363C"/>
    <w:rsid w:val="001D39F5"/>
    <w:rsid w:val="001D4A74"/>
    <w:rsid w:val="001D55B2"/>
    <w:rsid w:val="001D68F7"/>
    <w:rsid w:val="001D71E8"/>
    <w:rsid w:val="001D7814"/>
    <w:rsid w:val="001D7F4C"/>
    <w:rsid w:val="001E186C"/>
    <w:rsid w:val="001E24F1"/>
    <w:rsid w:val="001E2E1C"/>
    <w:rsid w:val="001E36E3"/>
    <w:rsid w:val="001E4177"/>
    <w:rsid w:val="001E5422"/>
    <w:rsid w:val="001E57D6"/>
    <w:rsid w:val="001E61E2"/>
    <w:rsid w:val="001E7A1B"/>
    <w:rsid w:val="001F09A9"/>
    <w:rsid w:val="001F0C20"/>
    <w:rsid w:val="001F1185"/>
    <w:rsid w:val="001F1638"/>
    <w:rsid w:val="001F22C2"/>
    <w:rsid w:val="001F281C"/>
    <w:rsid w:val="001F2A2D"/>
    <w:rsid w:val="001F359F"/>
    <w:rsid w:val="001F5912"/>
    <w:rsid w:val="001F656E"/>
    <w:rsid w:val="001F661E"/>
    <w:rsid w:val="001F6770"/>
    <w:rsid w:val="001F6E26"/>
    <w:rsid w:val="001F7E9F"/>
    <w:rsid w:val="0020016D"/>
    <w:rsid w:val="00200C44"/>
    <w:rsid w:val="002014FA"/>
    <w:rsid w:val="00201BE8"/>
    <w:rsid w:val="00202222"/>
    <w:rsid w:val="00202247"/>
    <w:rsid w:val="00202A21"/>
    <w:rsid w:val="00203F82"/>
    <w:rsid w:val="00204DA5"/>
    <w:rsid w:val="00206954"/>
    <w:rsid w:val="0020702C"/>
    <w:rsid w:val="00207C24"/>
    <w:rsid w:val="00207CA2"/>
    <w:rsid w:val="002111DC"/>
    <w:rsid w:val="0021233A"/>
    <w:rsid w:val="002125BC"/>
    <w:rsid w:val="0021292C"/>
    <w:rsid w:val="002136AB"/>
    <w:rsid w:val="002140A6"/>
    <w:rsid w:val="00214A9C"/>
    <w:rsid w:val="00214D7F"/>
    <w:rsid w:val="00215718"/>
    <w:rsid w:val="00215DA8"/>
    <w:rsid w:val="00217269"/>
    <w:rsid w:val="00217395"/>
    <w:rsid w:val="00220019"/>
    <w:rsid w:val="00220FA6"/>
    <w:rsid w:val="0022204B"/>
    <w:rsid w:val="00222B4F"/>
    <w:rsid w:val="002236F9"/>
    <w:rsid w:val="00224064"/>
    <w:rsid w:val="00225620"/>
    <w:rsid w:val="00225831"/>
    <w:rsid w:val="00225A0B"/>
    <w:rsid w:val="00225CDE"/>
    <w:rsid w:val="00226269"/>
    <w:rsid w:val="00226866"/>
    <w:rsid w:val="00226E86"/>
    <w:rsid w:val="00230242"/>
    <w:rsid w:val="00230494"/>
    <w:rsid w:val="002308C0"/>
    <w:rsid w:val="00230C48"/>
    <w:rsid w:val="002322A1"/>
    <w:rsid w:val="002333ED"/>
    <w:rsid w:val="0023411D"/>
    <w:rsid w:val="00234557"/>
    <w:rsid w:val="00235E06"/>
    <w:rsid w:val="00236084"/>
    <w:rsid w:val="00237998"/>
    <w:rsid w:val="00240336"/>
    <w:rsid w:val="00240EB1"/>
    <w:rsid w:val="002411DB"/>
    <w:rsid w:val="00241EE3"/>
    <w:rsid w:val="00242240"/>
    <w:rsid w:val="002428E5"/>
    <w:rsid w:val="00242D00"/>
    <w:rsid w:val="00243214"/>
    <w:rsid w:val="0024387A"/>
    <w:rsid w:val="002443A8"/>
    <w:rsid w:val="00244C1F"/>
    <w:rsid w:val="00245D95"/>
    <w:rsid w:val="00247037"/>
    <w:rsid w:val="0024720C"/>
    <w:rsid w:val="002477AA"/>
    <w:rsid w:val="00247CE0"/>
    <w:rsid w:val="00250058"/>
    <w:rsid w:val="0025083D"/>
    <w:rsid w:val="00251123"/>
    <w:rsid w:val="00251C58"/>
    <w:rsid w:val="00252218"/>
    <w:rsid w:val="0025292A"/>
    <w:rsid w:val="00257459"/>
    <w:rsid w:val="00257FA5"/>
    <w:rsid w:val="00261CA4"/>
    <w:rsid w:val="0026211B"/>
    <w:rsid w:val="00262280"/>
    <w:rsid w:val="00262A6D"/>
    <w:rsid w:val="002635CD"/>
    <w:rsid w:val="00263A0C"/>
    <w:rsid w:val="002646EC"/>
    <w:rsid w:val="002650E7"/>
    <w:rsid w:val="0026568F"/>
    <w:rsid w:val="00265736"/>
    <w:rsid w:val="00265F14"/>
    <w:rsid w:val="00266AF8"/>
    <w:rsid w:val="00270382"/>
    <w:rsid w:val="00271283"/>
    <w:rsid w:val="00271704"/>
    <w:rsid w:val="00271C6F"/>
    <w:rsid w:val="00272751"/>
    <w:rsid w:val="00274E8C"/>
    <w:rsid w:val="00274EEF"/>
    <w:rsid w:val="00275CF1"/>
    <w:rsid w:val="00276814"/>
    <w:rsid w:val="00277B12"/>
    <w:rsid w:val="00277D43"/>
    <w:rsid w:val="00281C90"/>
    <w:rsid w:val="0028249B"/>
    <w:rsid w:val="00282C9A"/>
    <w:rsid w:val="00282F0A"/>
    <w:rsid w:val="0028337A"/>
    <w:rsid w:val="00283849"/>
    <w:rsid w:val="0028391C"/>
    <w:rsid w:val="00283B69"/>
    <w:rsid w:val="00283DD9"/>
    <w:rsid w:val="00284EA3"/>
    <w:rsid w:val="00285F04"/>
    <w:rsid w:val="002879E7"/>
    <w:rsid w:val="00290148"/>
    <w:rsid w:val="00291509"/>
    <w:rsid w:val="0029184F"/>
    <w:rsid w:val="00291BE2"/>
    <w:rsid w:val="00292B6F"/>
    <w:rsid w:val="00295175"/>
    <w:rsid w:val="002952F0"/>
    <w:rsid w:val="002968C5"/>
    <w:rsid w:val="002A173E"/>
    <w:rsid w:val="002A4321"/>
    <w:rsid w:val="002A49A1"/>
    <w:rsid w:val="002A5258"/>
    <w:rsid w:val="002A5D2B"/>
    <w:rsid w:val="002A5D7A"/>
    <w:rsid w:val="002A63A9"/>
    <w:rsid w:val="002A6DDB"/>
    <w:rsid w:val="002A7162"/>
    <w:rsid w:val="002A7C8C"/>
    <w:rsid w:val="002B0800"/>
    <w:rsid w:val="002B0B29"/>
    <w:rsid w:val="002B1AA6"/>
    <w:rsid w:val="002B3262"/>
    <w:rsid w:val="002B3B78"/>
    <w:rsid w:val="002B45C7"/>
    <w:rsid w:val="002B52F2"/>
    <w:rsid w:val="002B5638"/>
    <w:rsid w:val="002B59ED"/>
    <w:rsid w:val="002B5A43"/>
    <w:rsid w:val="002B649A"/>
    <w:rsid w:val="002C0A58"/>
    <w:rsid w:val="002C0E23"/>
    <w:rsid w:val="002C167C"/>
    <w:rsid w:val="002C29F3"/>
    <w:rsid w:val="002C31CC"/>
    <w:rsid w:val="002C3486"/>
    <w:rsid w:val="002C35B2"/>
    <w:rsid w:val="002C3D4A"/>
    <w:rsid w:val="002C446A"/>
    <w:rsid w:val="002C6604"/>
    <w:rsid w:val="002C6DE4"/>
    <w:rsid w:val="002C7699"/>
    <w:rsid w:val="002C7A76"/>
    <w:rsid w:val="002D042B"/>
    <w:rsid w:val="002D1024"/>
    <w:rsid w:val="002D1676"/>
    <w:rsid w:val="002D23DA"/>
    <w:rsid w:val="002D25B1"/>
    <w:rsid w:val="002D2886"/>
    <w:rsid w:val="002D2F7F"/>
    <w:rsid w:val="002D302C"/>
    <w:rsid w:val="002D3056"/>
    <w:rsid w:val="002D410B"/>
    <w:rsid w:val="002D4419"/>
    <w:rsid w:val="002D48C7"/>
    <w:rsid w:val="002D5E4E"/>
    <w:rsid w:val="002D6335"/>
    <w:rsid w:val="002D6503"/>
    <w:rsid w:val="002D6C1B"/>
    <w:rsid w:val="002D6C74"/>
    <w:rsid w:val="002D6DD5"/>
    <w:rsid w:val="002D71F4"/>
    <w:rsid w:val="002E062D"/>
    <w:rsid w:val="002E185A"/>
    <w:rsid w:val="002E1C1C"/>
    <w:rsid w:val="002E1E65"/>
    <w:rsid w:val="002E24A9"/>
    <w:rsid w:val="002E2C27"/>
    <w:rsid w:val="002E315E"/>
    <w:rsid w:val="002E3ADB"/>
    <w:rsid w:val="002E3E6C"/>
    <w:rsid w:val="002E4637"/>
    <w:rsid w:val="002E588B"/>
    <w:rsid w:val="002E6336"/>
    <w:rsid w:val="002E6790"/>
    <w:rsid w:val="002E6D04"/>
    <w:rsid w:val="002E74B2"/>
    <w:rsid w:val="002E7B10"/>
    <w:rsid w:val="002F126F"/>
    <w:rsid w:val="002F14F1"/>
    <w:rsid w:val="002F1842"/>
    <w:rsid w:val="002F1EE2"/>
    <w:rsid w:val="002F2021"/>
    <w:rsid w:val="002F37D7"/>
    <w:rsid w:val="002F58EE"/>
    <w:rsid w:val="002F5A98"/>
    <w:rsid w:val="002F6673"/>
    <w:rsid w:val="002F66A2"/>
    <w:rsid w:val="002F6702"/>
    <w:rsid w:val="002F68A7"/>
    <w:rsid w:val="00300F1C"/>
    <w:rsid w:val="003014A1"/>
    <w:rsid w:val="00301E97"/>
    <w:rsid w:val="00302CFA"/>
    <w:rsid w:val="00303582"/>
    <w:rsid w:val="0030527C"/>
    <w:rsid w:val="00305C04"/>
    <w:rsid w:val="00305CD3"/>
    <w:rsid w:val="00306C4D"/>
    <w:rsid w:val="00307EA5"/>
    <w:rsid w:val="003100AB"/>
    <w:rsid w:val="0031151A"/>
    <w:rsid w:val="00311D71"/>
    <w:rsid w:val="00311DFA"/>
    <w:rsid w:val="00312ABC"/>
    <w:rsid w:val="00313EA0"/>
    <w:rsid w:val="00314A77"/>
    <w:rsid w:val="00314DBF"/>
    <w:rsid w:val="003158C1"/>
    <w:rsid w:val="00316347"/>
    <w:rsid w:val="003176A9"/>
    <w:rsid w:val="00320560"/>
    <w:rsid w:val="0032065C"/>
    <w:rsid w:val="003207A0"/>
    <w:rsid w:val="00321312"/>
    <w:rsid w:val="003213E0"/>
    <w:rsid w:val="00321D32"/>
    <w:rsid w:val="003238D9"/>
    <w:rsid w:val="0032471A"/>
    <w:rsid w:val="00324DC3"/>
    <w:rsid w:val="00324E8F"/>
    <w:rsid w:val="00325A0C"/>
    <w:rsid w:val="0032605D"/>
    <w:rsid w:val="003263B0"/>
    <w:rsid w:val="00326B0D"/>
    <w:rsid w:val="00327E5B"/>
    <w:rsid w:val="00330418"/>
    <w:rsid w:val="00330609"/>
    <w:rsid w:val="00331914"/>
    <w:rsid w:val="00332B99"/>
    <w:rsid w:val="00333299"/>
    <w:rsid w:val="00333E85"/>
    <w:rsid w:val="00333E93"/>
    <w:rsid w:val="00334EB5"/>
    <w:rsid w:val="003352B3"/>
    <w:rsid w:val="00336089"/>
    <w:rsid w:val="003360A7"/>
    <w:rsid w:val="00336700"/>
    <w:rsid w:val="003368BE"/>
    <w:rsid w:val="003409A4"/>
    <w:rsid w:val="00341620"/>
    <w:rsid w:val="003416CE"/>
    <w:rsid w:val="00342848"/>
    <w:rsid w:val="00342A5B"/>
    <w:rsid w:val="00343255"/>
    <w:rsid w:val="00343CCC"/>
    <w:rsid w:val="0034416A"/>
    <w:rsid w:val="0034658D"/>
    <w:rsid w:val="0034729A"/>
    <w:rsid w:val="00347A60"/>
    <w:rsid w:val="00347D15"/>
    <w:rsid w:val="00347F92"/>
    <w:rsid w:val="00350331"/>
    <w:rsid w:val="003519C3"/>
    <w:rsid w:val="00351E76"/>
    <w:rsid w:val="0035200B"/>
    <w:rsid w:val="0035383F"/>
    <w:rsid w:val="00353EA8"/>
    <w:rsid w:val="00354249"/>
    <w:rsid w:val="003550AC"/>
    <w:rsid w:val="00355FDA"/>
    <w:rsid w:val="003568F4"/>
    <w:rsid w:val="003569E1"/>
    <w:rsid w:val="0035776F"/>
    <w:rsid w:val="0035781E"/>
    <w:rsid w:val="003611D0"/>
    <w:rsid w:val="003623F3"/>
    <w:rsid w:val="00363D87"/>
    <w:rsid w:val="00365259"/>
    <w:rsid w:val="003654AC"/>
    <w:rsid w:val="00365573"/>
    <w:rsid w:val="003658D2"/>
    <w:rsid w:val="00366927"/>
    <w:rsid w:val="00370CE5"/>
    <w:rsid w:val="00372353"/>
    <w:rsid w:val="00372C9E"/>
    <w:rsid w:val="00375BEC"/>
    <w:rsid w:val="00375F3D"/>
    <w:rsid w:val="00375FB0"/>
    <w:rsid w:val="003775AF"/>
    <w:rsid w:val="00380BBD"/>
    <w:rsid w:val="00380C31"/>
    <w:rsid w:val="00381677"/>
    <w:rsid w:val="00381737"/>
    <w:rsid w:val="00381F73"/>
    <w:rsid w:val="00382331"/>
    <w:rsid w:val="0038293A"/>
    <w:rsid w:val="00382EBC"/>
    <w:rsid w:val="00383009"/>
    <w:rsid w:val="003832C4"/>
    <w:rsid w:val="00383450"/>
    <w:rsid w:val="003839B2"/>
    <w:rsid w:val="0038410C"/>
    <w:rsid w:val="00384888"/>
    <w:rsid w:val="00384C50"/>
    <w:rsid w:val="00384E67"/>
    <w:rsid w:val="0038534B"/>
    <w:rsid w:val="00387005"/>
    <w:rsid w:val="00390F0D"/>
    <w:rsid w:val="003912B4"/>
    <w:rsid w:val="00391926"/>
    <w:rsid w:val="00392F72"/>
    <w:rsid w:val="00393012"/>
    <w:rsid w:val="0039306E"/>
    <w:rsid w:val="0039430D"/>
    <w:rsid w:val="00394F2B"/>
    <w:rsid w:val="00395483"/>
    <w:rsid w:val="00395D25"/>
    <w:rsid w:val="003A04DF"/>
    <w:rsid w:val="003A18FA"/>
    <w:rsid w:val="003A28FB"/>
    <w:rsid w:val="003A33A2"/>
    <w:rsid w:val="003A3412"/>
    <w:rsid w:val="003A39E4"/>
    <w:rsid w:val="003A455A"/>
    <w:rsid w:val="003A4796"/>
    <w:rsid w:val="003A4FC3"/>
    <w:rsid w:val="003A5627"/>
    <w:rsid w:val="003A5BA4"/>
    <w:rsid w:val="003A64D8"/>
    <w:rsid w:val="003A6559"/>
    <w:rsid w:val="003A6810"/>
    <w:rsid w:val="003A684D"/>
    <w:rsid w:val="003A758E"/>
    <w:rsid w:val="003A7624"/>
    <w:rsid w:val="003A7769"/>
    <w:rsid w:val="003B0806"/>
    <w:rsid w:val="003B0B44"/>
    <w:rsid w:val="003B0E49"/>
    <w:rsid w:val="003B10E5"/>
    <w:rsid w:val="003B2490"/>
    <w:rsid w:val="003B370D"/>
    <w:rsid w:val="003B4198"/>
    <w:rsid w:val="003B468D"/>
    <w:rsid w:val="003B4C60"/>
    <w:rsid w:val="003B5032"/>
    <w:rsid w:val="003B580F"/>
    <w:rsid w:val="003B76D2"/>
    <w:rsid w:val="003B792C"/>
    <w:rsid w:val="003C00B2"/>
    <w:rsid w:val="003C05F5"/>
    <w:rsid w:val="003C1B23"/>
    <w:rsid w:val="003C2A2C"/>
    <w:rsid w:val="003C2FDE"/>
    <w:rsid w:val="003C308E"/>
    <w:rsid w:val="003C492A"/>
    <w:rsid w:val="003C6406"/>
    <w:rsid w:val="003C701E"/>
    <w:rsid w:val="003C79CD"/>
    <w:rsid w:val="003C7E28"/>
    <w:rsid w:val="003D02D8"/>
    <w:rsid w:val="003D244D"/>
    <w:rsid w:val="003D2597"/>
    <w:rsid w:val="003D2ABC"/>
    <w:rsid w:val="003D3622"/>
    <w:rsid w:val="003D39F4"/>
    <w:rsid w:val="003D64ED"/>
    <w:rsid w:val="003E0958"/>
    <w:rsid w:val="003E0A20"/>
    <w:rsid w:val="003E0C9A"/>
    <w:rsid w:val="003E11E3"/>
    <w:rsid w:val="003E1A69"/>
    <w:rsid w:val="003E1EF1"/>
    <w:rsid w:val="003E1F9A"/>
    <w:rsid w:val="003E3130"/>
    <w:rsid w:val="003E55AB"/>
    <w:rsid w:val="003E657C"/>
    <w:rsid w:val="003E745E"/>
    <w:rsid w:val="003F1184"/>
    <w:rsid w:val="003F18BB"/>
    <w:rsid w:val="003F367A"/>
    <w:rsid w:val="003F398F"/>
    <w:rsid w:val="003F3B1C"/>
    <w:rsid w:val="003F3B1F"/>
    <w:rsid w:val="003F4FEC"/>
    <w:rsid w:val="003F536D"/>
    <w:rsid w:val="003F6A45"/>
    <w:rsid w:val="003F722F"/>
    <w:rsid w:val="003F7780"/>
    <w:rsid w:val="003F7FDA"/>
    <w:rsid w:val="00400361"/>
    <w:rsid w:val="0040056E"/>
    <w:rsid w:val="00400FA2"/>
    <w:rsid w:val="00401228"/>
    <w:rsid w:val="00401D15"/>
    <w:rsid w:val="00401EF9"/>
    <w:rsid w:val="00402096"/>
    <w:rsid w:val="0040217E"/>
    <w:rsid w:val="00402370"/>
    <w:rsid w:val="00402F58"/>
    <w:rsid w:val="0040478D"/>
    <w:rsid w:val="0040486A"/>
    <w:rsid w:val="004054C5"/>
    <w:rsid w:val="004074B8"/>
    <w:rsid w:val="00407634"/>
    <w:rsid w:val="00407645"/>
    <w:rsid w:val="00407A2E"/>
    <w:rsid w:val="00410378"/>
    <w:rsid w:val="004107A3"/>
    <w:rsid w:val="00413388"/>
    <w:rsid w:val="00413B97"/>
    <w:rsid w:val="00413F08"/>
    <w:rsid w:val="00413F7A"/>
    <w:rsid w:val="0041446F"/>
    <w:rsid w:val="00415242"/>
    <w:rsid w:val="00415432"/>
    <w:rsid w:val="00416712"/>
    <w:rsid w:val="00417831"/>
    <w:rsid w:val="004213E3"/>
    <w:rsid w:val="00421639"/>
    <w:rsid w:val="00422F4A"/>
    <w:rsid w:val="00423ADE"/>
    <w:rsid w:val="004245C5"/>
    <w:rsid w:val="004248F6"/>
    <w:rsid w:val="00424A36"/>
    <w:rsid w:val="00424ADF"/>
    <w:rsid w:val="00424F0D"/>
    <w:rsid w:val="00425733"/>
    <w:rsid w:val="004258A6"/>
    <w:rsid w:val="004259F5"/>
    <w:rsid w:val="0042663C"/>
    <w:rsid w:val="004266A6"/>
    <w:rsid w:val="00426739"/>
    <w:rsid w:val="004272A1"/>
    <w:rsid w:val="004272CC"/>
    <w:rsid w:val="00430A1D"/>
    <w:rsid w:val="00430AAA"/>
    <w:rsid w:val="00432958"/>
    <w:rsid w:val="00432FC6"/>
    <w:rsid w:val="004337CC"/>
    <w:rsid w:val="004341A9"/>
    <w:rsid w:val="00434229"/>
    <w:rsid w:val="00436094"/>
    <w:rsid w:val="004371D3"/>
    <w:rsid w:val="004371FC"/>
    <w:rsid w:val="0044017E"/>
    <w:rsid w:val="004409B5"/>
    <w:rsid w:val="00440C18"/>
    <w:rsid w:val="00440D89"/>
    <w:rsid w:val="00441C26"/>
    <w:rsid w:val="00442283"/>
    <w:rsid w:val="00442D10"/>
    <w:rsid w:val="004434DC"/>
    <w:rsid w:val="00443520"/>
    <w:rsid w:val="004443C4"/>
    <w:rsid w:val="004447E1"/>
    <w:rsid w:val="00444DF9"/>
    <w:rsid w:val="00444E00"/>
    <w:rsid w:val="00445F77"/>
    <w:rsid w:val="00446DAE"/>
    <w:rsid w:val="00446FFF"/>
    <w:rsid w:val="00447E59"/>
    <w:rsid w:val="00450073"/>
    <w:rsid w:val="00450782"/>
    <w:rsid w:val="00450954"/>
    <w:rsid w:val="00450F11"/>
    <w:rsid w:val="00450F13"/>
    <w:rsid w:val="0045122F"/>
    <w:rsid w:val="00451270"/>
    <w:rsid w:val="00451467"/>
    <w:rsid w:val="00452287"/>
    <w:rsid w:val="004526FC"/>
    <w:rsid w:val="00452BEA"/>
    <w:rsid w:val="004535DC"/>
    <w:rsid w:val="004541BC"/>
    <w:rsid w:val="0045569E"/>
    <w:rsid w:val="00455E06"/>
    <w:rsid w:val="00456E76"/>
    <w:rsid w:val="0045764A"/>
    <w:rsid w:val="00457AEB"/>
    <w:rsid w:val="00460ED4"/>
    <w:rsid w:val="00461BC6"/>
    <w:rsid w:val="004627EB"/>
    <w:rsid w:val="004640CE"/>
    <w:rsid w:val="004658BE"/>
    <w:rsid w:val="00465A06"/>
    <w:rsid w:val="004660BE"/>
    <w:rsid w:val="0046647B"/>
    <w:rsid w:val="00467783"/>
    <w:rsid w:val="0047192B"/>
    <w:rsid w:val="0047260C"/>
    <w:rsid w:val="004728E6"/>
    <w:rsid w:val="0047392D"/>
    <w:rsid w:val="0047443A"/>
    <w:rsid w:val="00474499"/>
    <w:rsid w:val="00476E14"/>
    <w:rsid w:val="004811BB"/>
    <w:rsid w:val="00481D2B"/>
    <w:rsid w:val="004820B8"/>
    <w:rsid w:val="004825BF"/>
    <w:rsid w:val="00482A46"/>
    <w:rsid w:val="004834AD"/>
    <w:rsid w:val="0048376B"/>
    <w:rsid w:val="004837BD"/>
    <w:rsid w:val="00483AA7"/>
    <w:rsid w:val="004858D2"/>
    <w:rsid w:val="00485E2A"/>
    <w:rsid w:val="00486670"/>
    <w:rsid w:val="00486879"/>
    <w:rsid w:val="00487508"/>
    <w:rsid w:val="004911DA"/>
    <w:rsid w:val="00491C73"/>
    <w:rsid w:val="00492DBB"/>
    <w:rsid w:val="00492F4F"/>
    <w:rsid w:val="0049319F"/>
    <w:rsid w:val="00493DE0"/>
    <w:rsid w:val="004946C9"/>
    <w:rsid w:val="00494870"/>
    <w:rsid w:val="004954DB"/>
    <w:rsid w:val="0049562F"/>
    <w:rsid w:val="0049684D"/>
    <w:rsid w:val="00496C45"/>
    <w:rsid w:val="00496E45"/>
    <w:rsid w:val="00496E60"/>
    <w:rsid w:val="00496EB7"/>
    <w:rsid w:val="00496F85"/>
    <w:rsid w:val="00497682"/>
    <w:rsid w:val="0049781C"/>
    <w:rsid w:val="004A04A2"/>
    <w:rsid w:val="004A0DA4"/>
    <w:rsid w:val="004A1D58"/>
    <w:rsid w:val="004A3C85"/>
    <w:rsid w:val="004A3EB1"/>
    <w:rsid w:val="004A4EB2"/>
    <w:rsid w:val="004A5267"/>
    <w:rsid w:val="004A5271"/>
    <w:rsid w:val="004A584E"/>
    <w:rsid w:val="004A7894"/>
    <w:rsid w:val="004B005F"/>
    <w:rsid w:val="004B25D8"/>
    <w:rsid w:val="004B26A2"/>
    <w:rsid w:val="004B3150"/>
    <w:rsid w:val="004B3ABC"/>
    <w:rsid w:val="004B3C3F"/>
    <w:rsid w:val="004B4697"/>
    <w:rsid w:val="004B4AEE"/>
    <w:rsid w:val="004B525F"/>
    <w:rsid w:val="004B59AE"/>
    <w:rsid w:val="004B5E5B"/>
    <w:rsid w:val="004B6014"/>
    <w:rsid w:val="004B61FA"/>
    <w:rsid w:val="004B6F55"/>
    <w:rsid w:val="004C0036"/>
    <w:rsid w:val="004C0DC5"/>
    <w:rsid w:val="004C129E"/>
    <w:rsid w:val="004C1316"/>
    <w:rsid w:val="004C1748"/>
    <w:rsid w:val="004C2AD7"/>
    <w:rsid w:val="004C2F22"/>
    <w:rsid w:val="004C3F96"/>
    <w:rsid w:val="004C457A"/>
    <w:rsid w:val="004C45EC"/>
    <w:rsid w:val="004C4D71"/>
    <w:rsid w:val="004C5991"/>
    <w:rsid w:val="004C5EF7"/>
    <w:rsid w:val="004C6785"/>
    <w:rsid w:val="004C7819"/>
    <w:rsid w:val="004C7DB0"/>
    <w:rsid w:val="004D02BF"/>
    <w:rsid w:val="004D0677"/>
    <w:rsid w:val="004D06D2"/>
    <w:rsid w:val="004D0A32"/>
    <w:rsid w:val="004D1556"/>
    <w:rsid w:val="004D1FCE"/>
    <w:rsid w:val="004D36EC"/>
    <w:rsid w:val="004D3EBC"/>
    <w:rsid w:val="004D4385"/>
    <w:rsid w:val="004D47B3"/>
    <w:rsid w:val="004D4C4D"/>
    <w:rsid w:val="004D4CD5"/>
    <w:rsid w:val="004E0BD2"/>
    <w:rsid w:val="004E1283"/>
    <w:rsid w:val="004E1697"/>
    <w:rsid w:val="004E1DF7"/>
    <w:rsid w:val="004E277D"/>
    <w:rsid w:val="004E2FB3"/>
    <w:rsid w:val="004E311B"/>
    <w:rsid w:val="004E3967"/>
    <w:rsid w:val="004E3A0E"/>
    <w:rsid w:val="004E3AF1"/>
    <w:rsid w:val="004E3BC5"/>
    <w:rsid w:val="004E3E24"/>
    <w:rsid w:val="004E4217"/>
    <w:rsid w:val="004E4FFE"/>
    <w:rsid w:val="004E54A7"/>
    <w:rsid w:val="004E563E"/>
    <w:rsid w:val="004E59CE"/>
    <w:rsid w:val="004E79B7"/>
    <w:rsid w:val="004E7DBC"/>
    <w:rsid w:val="004F0495"/>
    <w:rsid w:val="004F04AE"/>
    <w:rsid w:val="004F0615"/>
    <w:rsid w:val="004F13D8"/>
    <w:rsid w:val="004F1866"/>
    <w:rsid w:val="004F2477"/>
    <w:rsid w:val="004F297D"/>
    <w:rsid w:val="004F38AB"/>
    <w:rsid w:val="004F3F42"/>
    <w:rsid w:val="004F41ED"/>
    <w:rsid w:val="004F4506"/>
    <w:rsid w:val="004F4C49"/>
    <w:rsid w:val="004F53E8"/>
    <w:rsid w:val="004F6682"/>
    <w:rsid w:val="004F79B9"/>
    <w:rsid w:val="004F7B53"/>
    <w:rsid w:val="004F7C2B"/>
    <w:rsid w:val="0050048F"/>
    <w:rsid w:val="005008CF"/>
    <w:rsid w:val="00500C0A"/>
    <w:rsid w:val="00502431"/>
    <w:rsid w:val="0050250F"/>
    <w:rsid w:val="005028E6"/>
    <w:rsid w:val="00502F93"/>
    <w:rsid w:val="005039D6"/>
    <w:rsid w:val="00504EE2"/>
    <w:rsid w:val="00505775"/>
    <w:rsid w:val="0050679F"/>
    <w:rsid w:val="005076E1"/>
    <w:rsid w:val="00510E39"/>
    <w:rsid w:val="005113ED"/>
    <w:rsid w:val="005116EE"/>
    <w:rsid w:val="005118EC"/>
    <w:rsid w:val="00514DBD"/>
    <w:rsid w:val="00515383"/>
    <w:rsid w:val="00516918"/>
    <w:rsid w:val="00516CF6"/>
    <w:rsid w:val="005175AC"/>
    <w:rsid w:val="005177F2"/>
    <w:rsid w:val="00521076"/>
    <w:rsid w:val="005210CF"/>
    <w:rsid w:val="0052165E"/>
    <w:rsid w:val="0052168D"/>
    <w:rsid w:val="005217FF"/>
    <w:rsid w:val="0052197B"/>
    <w:rsid w:val="00522927"/>
    <w:rsid w:val="0052428A"/>
    <w:rsid w:val="00524822"/>
    <w:rsid w:val="00524C17"/>
    <w:rsid w:val="00526B44"/>
    <w:rsid w:val="00526CCC"/>
    <w:rsid w:val="00526DCE"/>
    <w:rsid w:val="005271A5"/>
    <w:rsid w:val="00527340"/>
    <w:rsid w:val="00527676"/>
    <w:rsid w:val="00530BEF"/>
    <w:rsid w:val="005313AC"/>
    <w:rsid w:val="00532B6E"/>
    <w:rsid w:val="00532EAC"/>
    <w:rsid w:val="00533C2E"/>
    <w:rsid w:val="00534AFB"/>
    <w:rsid w:val="0053518F"/>
    <w:rsid w:val="005352C4"/>
    <w:rsid w:val="00537056"/>
    <w:rsid w:val="00537281"/>
    <w:rsid w:val="005378FE"/>
    <w:rsid w:val="00540767"/>
    <w:rsid w:val="005410E3"/>
    <w:rsid w:val="00541578"/>
    <w:rsid w:val="0054158B"/>
    <w:rsid w:val="0054174F"/>
    <w:rsid w:val="00541C36"/>
    <w:rsid w:val="00542DC9"/>
    <w:rsid w:val="00542FAD"/>
    <w:rsid w:val="00545EAA"/>
    <w:rsid w:val="00546DC0"/>
    <w:rsid w:val="00547191"/>
    <w:rsid w:val="005475F5"/>
    <w:rsid w:val="005478CD"/>
    <w:rsid w:val="00547B20"/>
    <w:rsid w:val="0055008B"/>
    <w:rsid w:val="0055034B"/>
    <w:rsid w:val="005507CF"/>
    <w:rsid w:val="00550B00"/>
    <w:rsid w:val="00551608"/>
    <w:rsid w:val="00552FA0"/>
    <w:rsid w:val="00553403"/>
    <w:rsid w:val="005538DA"/>
    <w:rsid w:val="00554095"/>
    <w:rsid w:val="00554146"/>
    <w:rsid w:val="00554357"/>
    <w:rsid w:val="0055492F"/>
    <w:rsid w:val="00555F07"/>
    <w:rsid w:val="00555F4F"/>
    <w:rsid w:val="005576B6"/>
    <w:rsid w:val="00557883"/>
    <w:rsid w:val="00557C42"/>
    <w:rsid w:val="0056048C"/>
    <w:rsid w:val="00561E8B"/>
    <w:rsid w:val="005650AF"/>
    <w:rsid w:val="00565665"/>
    <w:rsid w:val="00565D95"/>
    <w:rsid w:val="00565F98"/>
    <w:rsid w:val="00567C96"/>
    <w:rsid w:val="00571548"/>
    <w:rsid w:val="00571BB4"/>
    <w:rsid w:val="00571BD9"/>
    <w:rsid w:val="00571CB0"/>
    <w:rsid w:val="00571CCD"/>
    <w:rsid w:val="0057255B"/>
    <w:rsid w:val="00573EA7"/>
    <w:rsid w:val="00574038"/>
    <w:rsid w:val="00574366"/>
    <w:rsid w:val="00574552"/>
    <w:rsid w:val="00574C70"/>
    <w:rsid w:val="0057511E"/>
    <w:rsid w:val="00575939"/>
    <w:rsid w:val="00575FDB"/>
    <w:rsid w:val="0057601A"/>
    <w:rsid w:val="00576330"/>
    <w:rsid w:val="00577828"/>
    <w:rsid w:val="00577B05"/>
    <w:rsid w:val="00577C2B"/>
    <w:rsid w:val="00577F9E"/>
    <w:rsid w:val="00582C56"/>
    <w:rsid w:val="0058328C"/>
    <w:rsid w:val="00583D85"/>
    <w:rsid w:val="00583ED0"/>
    <w:rsid w:val="00584A2D"/>
    <w:rsid w:val="00584B33"/>
    <w:rsid w:val="00585B28"/>
    <w:rsid w:val="00586620"/>
    <w:rsid w:val="00586B75"/>
    <w:rsid w:val="00587E83"/>
    <w:rsid w:val="00592ABB"/>
    <w:rsid w:val="00592C0A"/>
    <w:rsid w:val="00592DE4"/>
    <w:rsid w:val="0059382E"/>
    <w:rsid w:val="00593FD8"/>
    <w:rsid w:val="005945B0"/>
    <w:rsid w:val="00594E99"/>
    <w:rsid w:val="0059544C"/>
    <w:rsid w:val="0059550F"/>
    <w:rsid w:val="00596413"/>
    <w:rsid w:val="00597342"/>
    <w:rsid w:val="00597CB7"/>
    <w:rsid w:val="005A0361"/>
    <w:rsid w:val="005A12B4"/>
    <w:rsid w:val="005A13E2"/>
    <w:rsid w:val="005A1FF0"/>
    <w:rsid w:val="005A2222"/>
    <w:rsid w:val="005A2794"/>
    <w:rsid w:val="005A2D77"/>
    <w:rsid w:val="005A2FEE"/>
    <w:rsid w:val="005A34A1"/>
    <w:rsid w:val="005A36EA"/>
    <w:rsid w:val="005A4033"/>
    <w:rsid w:val="005A4683"/>
    <w:rsid w:val="005A4EDB"/>
    <w:rsid w:val="005A563A"/>
    <w:rsid w:val="005A564B"/>
    <w:rsid w:val="005A5DF9"/>
    <w:rsid w:val="005A637D"/>
    <w:rsid w:val="005A67DF"/>
    <w:rsid w:val="005A6964"/>
    <w:rsid w:val="005A6FEE"/>
    <w:rsid w:val="005A6FF7"/>
    <w:rsid w:val="005A72DC"/>
    <w:rsid w:val="005B15CA"/>
    <w:rsid w:val="005B1746"/>
    <w:rsid w:val="005B298A"/>
    <w:rsid w:val="005B2C28"/>
    <w:rsid w:val="005B3FD5"/>
    <w:rsid w:val="005B6FF2"/>
    <w:rsid w:val="005C0B5A"/>
    <w:rsid w:val="005C1FA6"/>
    <w:rsid w:val="005C2049"/>
    <w:rsid w:val="005C21EA"/>
    <w:rsid w:val="005C31C5"/>
    <w:rsid w:val="005C3670"/>
    <w:rsid w:val="005C37D0"/>
    <w:rsid w:val="005C55BC"/>
    <w:rsid w:val="005C59EB"/>
    <w:rsid w:val="005C5FFE"/>
    <w:rsid w:val="005C602A"/>
    <w:rsid w:val="005C7513"/>
    <w:rsid w:val="005D0190"/>
    <w:rsid w:val="005D0F79"/>
    <w:rsid w:val="005D1619"/>
    <w:rsid w:val="005D1ED4"/>
    <w:rsid w:val="005D2737"/>
    <w:rsid w:val="005D3812"/>
    <w:rsid w:val="005D3C1E"/>
    <w:rsid w:val="005D3D65"/>
    <w:rsid w:val="005D3DDA"/>
    <w:rsid w:val="005D4A01"/>
    <w:rsid w:val="005D52A0"/>
    <w:rsid w:val="005D5501"/>
    <w:rsid w:val="005D5D2A"/>
    <w:rsid w:val="005D6811"/>
    <w:rsid w:val="005D72BB"/>
    <w:rsid w:val="005D73E5"/>
    <w:rsid w:val="005E040F"/>
    <w:rsid w:val="005E108C"/>
    <w:rsid w:val="005E1517"/>
    <w:rsid w:val="005E158B"/>
    <w:rsid w:val="005E1F00"/>
    <w:rsid w:val="005E2FA2"/>
    <w:rsid w:val="005E4BA9"/>
    <w:rsid w:val="005E530E"/>
    <w:rsid w:val="005E5B94"/>
    <w:rsid w:val="005E6112"/>
    <w:rsid w:val="005E7D7D"/>
    <w:rsid w:val="005F06B1"/>
    <w:rsid w:val="005F1505"/>
    <w:rsid w:val="005F1986"/>
    <w:rsid w:val="005F1C3F"/>
    <w:rsid w:val="005F20E3"/>
    <w:rsid w:val="005F2A29"/>
    <w:rsid w:val="005F2D52"/>
    <w:rsid w:val="005F3D50"/>
    <w:rsid w:val="005F3F80"/>
    <w:rsid w:val="005F446E"/>
    <w:rsid w:val="005F4A19"/>
    <w:rsid w:val="005F52EF"/>
    <w:rsid w:val="005F58AF"/>
    <w:rsid w:val="005F74D3"/>
    <w:rsid w:val="005F78BB"/>
    <w:rsid w:val="005F7E03"/>
    <w:rsid w:val="00600C14"/>
    <w:rsid w:val="00600CAF"/>
    <w:rsid w:val="006013C3"/>
    <w:rsid w:val="006014F8"/>
    <w:rsid w:val="00601B4A"/>
    <w:rsid w:val="0060496E"/>
    <w:rsid w:val="00604C19"/>
    <w:rsid w:val="00605A97"/>
    <w:rsid w:val="0060668F"/>
    <w:rsid w:val="00606AF8"/>
    <w:rsid w:val="0060787F"/>
    <w:rsid w:val="00607D6A"/>
    <w:rsid w:val="006104DC"/>
    <w:rsid w:val="006114F2"/>
    <w:rsid w:val="006117B8"/>
    <w:rsid w:val="00612D9D"/>
    <w:rsid w:val="00613616"/>
    <w:rsid w:val="00613A69"/>
    <w:rsid w:val="00614A90"/>
    <w:rsid w:val="00615EEB"/>
    <w:rsid w:val="00617558"/>
    <w:rsid w:val="0062007D"/>
    <w:rsid w:val="00622482"/>
    <w:rsid w:val="006234AC"/>
    <w:rsid w:val="006252E8"/>
    <w:rsid w:val="0062615C"/>
    <w:rsid w:val="00626322"/>
    <w:rsid w:val="0062667D"/>
    <w:rsid w:val="00626F66"/>
    <w:rsid w:val="00627010"/>
    <w:rsid w:val="0062763C"/>
    <w:rsid w:val="006305C4"/>
    <w:rsid w:val="006305E9"/>
    <w:rsid w:val="00631548"/>
    <w:rsid w:val="006319FA"/>
    <w:rsid w:val="0063202B"/>
    <w:rsid w:val="00632297"/>
    <w:rsid w:val="00634072"/>
    <w:rsid w:val="006349A1"/>
    <w:rsid w:val="00634CC7"/>
    <w:rsid w:val="00634E08"/>
    <w:rsid w:val="00635ADB"/>
    <w:rsid w:val="00635E0E"/>
    <w:rsid w:val="0063692E"/>
    <w:rsid w:val="006375DE"/>
    <w:rsid w:val="0063777C"/>
    <w:rsid w:val="00637CCB"/>
    <w:rsid w:val="00640F35"/>
    <w:rsid w:val="006413C6"/>
    <w:rsid w:val="00641E60"/>
    <w:rsid w:val="006425A1"/>
    <w:rsid w:val="006429BA"/>
    <w:rsid w:val="00643D7F"/>
    <w:rsid w:val="006456CB"/>
    <w:rsid w:val="00645756"/>
    <w:rsid w:val="00645818"/>
    <w:rsid w:val="00646FC5"/>
    <w:rsid w:val="006507B3"/>
    <w:rsid w:val="0065652E"/>
    <w:rsid w:val="00656C7B"/>
    <w:rsid w:val="00657742"/>
    <w:rsid w:val="0066008C"/>
    <w:rsid w:val="00662146"/>
    <w:rsid w:val="00662EC4"/>
    <w:rsid w:val="006632A7"/>
    <w:rsid w:val="006633A1"/>
    <w:rsid w:val="0066376C"/>
    <w:rsid w:val="006644C0"/>
    <w:rsid w:val="00665E5A"/>
    <w:rsid w:val="00665EED"/>
    <w:rsid w:val="0066710D"/>
    <w:rsid w:val="00667784"/>
    <w:rsid w:val="00667D3C"/>
    <w:rsid w:val="00670526"/>
    <w:rsid w:val="00670BF4"/>
    <w:rsid w:val="006710C3"/>
    <w:rsid w:val="00672177"/>
    <w:rsid w:val="0067219B"/>
    <w:rsid w:val="0067239A"/>
    <w:rsid w:val="00672D94"/>
    <w:rsid w:val="00673077"/>
    <w:rsid w:val="0067327D"/>
    <w:rsid w:val="00673EDC"/>
    <w:rsid w:val="00675011"/>
    <w:rsid w:val="006754EB"/>
    <w:rsid w:val="00675C39"/>
    <w:rsid w:val="006763A4"/>
    <w:rsid w:val="00677458"/>
    <w:rsid w:val="00677B27"/>
    <w:rsid w:val="006805CD"/>
    <w:rsid w:val="006816CB"/>
    <w:rsid w:val="0068292A"/>
    <w:rsid w:val="006841FE"/>
    <w:rsid w:val="00684742"/>
    <w:rsid w:val="00684948"/>
    <w:rsid w:val="00684AA5"/>
    <w:rsid w:val="006853A9"/>
    <w:rsid w:val="00686458"/>
    <w:rsid w:val="00687657"/>
    <w:rsid w:val="0069190B"/>
    <w:rsid w:val="0069259C"/>
    <w:rsid w:val="0069272F"/>
    <w:rsid w:val="0069399C"/>
    <w:rsid w:val="00695099"/>
    <w:rsid w:val="0069651E"/>
    <w:rsid w:val="006967C7"/>
    <w:rsid w:val="00696A7A"/>
    <w:rsid w:val="00696E14"/>
    <w:rsid w:val="006A2796"/>
    <w:rsid w:val="006A3149"/>
    <w:rsid w:val="006A4445"/>
    <w:rsid w:val="006A56D2"/>
    <w:rsid w:val="006A5931"/>
    <w:rsid w:val="006A5D5A"/>
    <w:rsid w:val="006A6E72"/>
    <w:rsid w:val="006A7016"/>
    <w:rsid w:val="006A7DD8"/>
    <w:rsid w:val="006B0C22"/>
    <w:rsid w:val="006B168C"/>
    <w:rsid w:val="006B1E1E"/>
    <w:rsid w:val="006B20DD"/>
    <w:rsid w:val="006B3C50"/>
    <w:rsid w:val="006B3E7E"/>
    <w:rsid w:val="006B4D4F"/>
    <w:rsid w:val="006B4F22"/>
    <w:rsid w:val="006B628A"/>
    <w:rsid w:val="006B6312"/>
    <w:rsid w:val="006B67AE"/>
    <w:rsid w:val="006C024A"/>
    <w:rsid w:val="006C0F38"/>
    <w:rsid w:val="006C2AC3"/>
    <w:rsid w:val="006C4B3C"/>
    <w:rsid w:val="006C5514"/>
    <w:rsid w:val="006C57DE"/>
    <w:rsid w:val="006C580F"/>
    <w:rsid w:val="006C630D"/>
    <w:rsid w:val="006D0762"/>
    <w:rsid w:val="006D0CE9"/>
    <w:rsid w:val="006D0F28"/>
    <w:rsid w:val="006D1263"/>
    <w:rsid w:val="006D1468"/>
    <w:rsid w:val="006D3112"/>
    <w:rsid w:val="006D3201"/>
    <w:rsid w:val="006D3BDD"/>
    <w:rsid w:val="006D4A70"/>
    <w:rsid w:val="006D693E"/>
    <w:rsid w:val="006D6E70"/>
    <w:rsid w:val="006D7BD8"/>
    <w:rsid w:val="006E258F"/>
    <w:rsid w:val="006E2E3E"/>
    <w:rsid w:val="006E2F38"/>
    <w:rsid w:val="006E30DB"/>
    <w:rsid w:val="006E34E0"/>
    <w:rsid w:val="006E34FA"/>
    <w:rsid w:val="006E6FF8"/>
    <w:rsid w:val="006F10CB"/>
    <w:rsid w:val="006F1973"/>
    <w:rsid w:val="006F1DC7"/>
    <w:rsid w:val="006F29A2"/>
    <w:rsid w:val="006F2E33"/>
    <w:rsid w:val="006F618F"/>
    <w:rsid w:val="006F62B0"/>
    <w:rsid w:val="006F65E9"/>
    <w:rsid w:val="006F67C2"/>
    <w:rsid w:val="006F6AC9"/>
    <w:rsid w:val="00700DD0"/>
    <w:rsid w:val="0070234A"/>
    <w:rsid w:val="007043D5"/>
    <w:rsid w:val="00704F1D"/>
    <w:rsid w:val="0070519C"/>
    <w:rsid w:val="00705350"/>
    <w:rsid w:val="007054D4"/>
    <w:rsid w:val="007066F0"/>
    <w:rsid w:val="007078DB"/>
    <w:rsid w:val="0070796C"/>
    <w:rsid w:val="00707CA4"/>
    <w:rsid w:val="00713520"/>
    <w:rsid w:val="00713EE5"/>
    <w:rsid w:val="00715BE3"/>
    <w:rsid w:val="0071604E"/>
    <w:rsid w:val="007166F9"/>
    <w:rsid w:val="00716E60"/>
    <w:rsid w:val="00716ECE"/>
    <w:rsid w:val="00717B77"/>
    <w:rsid w:val="00717CA6"/>
    <w:rsid w:val="007207E8"/>
    <w:rsid w:val="007219F1"/>
    <w:rsid w:val="00722128"/>
    <w:rsid w:val="007228B9"/>
    <w:rsid w:val="007233DE"/>
    <w:rsid w:val="007253A6"/>
    <w:rsid w:val="00726691"/>
    <w:rsid w:val="007271B3"/>
    <w:rsid w:val="007272D1"/>
    <w:rsid w:val="00731210"/>
    <w:rsid w:val="007312E2"/>
    <w:rsid w:val="0073179A"/>
    <w:rsid w:val="00732040"/>
    <w:rsid w:val="00734AF8"/>
    <w:rsid w:val="00734B4A"/>
    <w:rsid w:val="00735436"/>
    <w:rsid w:val="00735A74"/>
    <w:rsid w:val="00735C54"/>
    <w:rsid w:val="00735EDA"/>
    <w:rsid w:val="0073613C"/>
    <w:rsid w:val="00737A34"/>
    <w:rsid w:val="00737CED"/>
    <w:rsid w:val="00737F0D"/>
    <w:rsid w:val="0074026B"/>
    <w:rsid w:val="0074216F"/>
    <w:rsid w:val="00742CAA"/>
    <w:rsid w:val="00744325"/>
    <w:rsid w:val="00745722"/>
    <w:rsid w:val="007464FD"/>
    <w:rsid w:val="00747637"/>
    <w:rsid w:val="00747A4B"/>
    <w:rsid w:val="00747BEA"/>
    <w:rsid w:val="00747C06"/>
    <w:rsid w:val="007502A5"/>
    <w:rsid w:val="0075143B"/>
    <w:rsid w:val="00752975"/>
    <w:rsid w:val="00753B09"/>
    <w:rsid w:val="00754F88"/>
    <w:rsid w:val="0075530C"/>
    <w:rsid w:val="007565B0"/>
    <w:rsid w:val="00757FC4"/>
    <w:rsid w:val="00760016"/>
    <w:rsid w:val="0076062D"/>
    <w:rsid w:val="00760923"/>
    <w:rsid w:val="00760CAC"/>
    <w:rsid w:val="00761947"/>
    <w:rsid w:val="00762334"/>
    <w:rsid w:val="007627AD"/>
    <w:rsid w:val="00763001"/>
    <w:rsid w:val="00763072"/>
    <w:rsid w:val="00763461"/>
    <w:rsid w:val="00764227"/>
    <w:rsid w:val="007644BB"/>
    <w:rsid w:val="00765054"/>
    <w:rsid w:val="007662C8"/>
    <w:rsid w:val="00766A99"/>
    <w:rsid w:val="007675E2"/>
    <w:rsid w:val="00767815"/>
    <w:rsid w:val="0077010D"/>
    <w:rsid w:val="007725F7"/>
    <w:rsid w:val="00772A7A"/>
    <w:rsid w:val="00773919"/>
    <w:rsid w:val="0077410C"/>
    <w:rsid w:val="00774A47"/>
    <w:rsid w:val="0077538E"/>
    <w:rsid w:val="00777249"/>
    <w:rsid w:val="00777855"/>
    <w:rsid w:val="00780C2E"/>
    <w:rsid w:val="00781F41"/>
    <w:rsid w:val="00781FAB"/>
    <w:rsid w:val="00782ACD"/>
    <w:rsid w:val="007846EF"/>
    <w:rsid w:val="007848B7"/>
    <w:rsid w:val="00784DD3"/>
    <w:rsid w:val="0078531D"/>
    <w:rsid w:val="007853C4"/>
    <w:rsid w:val="00785564"/>
    <w:rsid w:val="007871E0"/>
    <w:rsid w:val="007872BD"/>
    <w:rsid w:val="007872C8"/>
    <w:rsid w:val="00787441"/>
    <w:rsid w:val="00787A47"/>
    <w:rsid w:val="00787BFD"/>
    <w:rsid w:val="00787D64"/>
    <w:rsid w:val="00787DE3"/>
    <w:rsid w:val="007900A8"/>
    <w:rsid w:val="00790689"/>
    <w:rsid w:val="00790B0D"/>
    <w:rsid w:val="00793474"/>
    <w:rsid w:val="00793B32"/>
    <w:rsid w:val="00794DF6"/>
    <w:rsid w:val="007954D7"/>
    <w:rsid w:val="0079750A"/>
    <w:rsid w:val="00797E27"/>
    <w:rsid w:val="007A1BDD"/>
    <w:rsid w:val="007A3BD2"/>
    <w:rsid w:val="007A43AC"/>
    <w:rsid w:val="007A45A6"/>
    <w:rsid w:val="007A52BB"/>
    <w:rsid w:val="007A5510"/>
    <w:rsid w:val="007A551B"/>
    <w:rsid w:val="007A5E15"/>
    <w:rsid w:val="007A6049"/>
    <w:rsid w:val="007A7ED4"/>
    <w:rsid w:val="007B074F"/>
    <w:rsid w:val="007B1DC2"/>
    <w:rsid w:val="007B27F4"/>
    <w:rsid w:val="007B296B"/>
    <w:rsid w:val="007B31DC"/>
    <w:rsid w:val="007B3DF0"/>
    <w:rsid w:val="007B4482"/>
    <w:rsid w:val="007B4B94"/>
    <w:rsid w:val="007B52A9"/>
    <w:rsid w:val="007B715E"/>
    <w:rsid w:val="007C1A6D"/>
    <w:rsid w:val="007C1CF6"/>
    <w:rsid w:val="007C20C0"/>
    <w:rsid w:val="007C3C5B"/>
    <w:rsid w:val="007C4DCF"/>
    <w:rsid w:val="007C4F76"/>
    <w:rsid w:val="007C50BC"/>
    <w:rsid w:val="007C5167"/>
    <w:rsid w:val="007C5DB8"/>
    <w:rsid w:val="007C65F1"/>
    <w:rsid w:val="007C6C4A"/>
    <w:rsid w:val="007C77F5"/>
    <w:rsid w:val="007C7DC5"/>
    <w:rsid w:val="007C7FCB"/>
    <w:rsid w:val="007D1B9D"/>
    <w:rsid w:val="007D231C"/>
    <w:rsid w:val="007D4042"/>
    <w:rsid w:val="007D5AC7"/>
    <w:rsid w:val="007D5AE7"/>
    <w:rsid w:val="007D613C"/>
    <w:rsid w:val="007D61C7"/>
    <w:rsid w:val="007D7561"/>
    <w:rsid w:val="007D7DF0"/>
    <w:rsid w:val="007E1EF4"/>
    <w:rsid w:val="007E2955"/>
    <w:rsid w:val="007E37CD"/>
    <w:rsid w:val="007E4487"/>
    <w:rsid w:val="007E4ADD"/>
    <w:rsid w:val="007E51B2"/>
    <w:rsid w:val="007E51FE"/>
    <w:rsid w:val="007E5C01"/>
    <w:rsid w:val="007E5CBD"/>
    <w:rsid w:val="007E68E9"/>
    <w:rsid w:val="007E6AA3"/>
    <w:rsid w:val="007F06CD"/>
    <w:rsid w:val="007F0D99"/>
    <w:rsid w:val="007F1562"/>
    <w:rsid w:val="007F1812"/>
    <w:rsid w:val="007F21A8"/>
    <w:rsid w:val="007F26A8"/>
    <w:rsid w:val="007F2EFF"/>
    <w:rsid w:val="007F46EE"/>
    <w:rsid w:val="007F5120"/>
    <w:rsid w:val="007F7991"/>
    <w:rsid w:val="007F7B42"/>
    <w:rsid w:val="0080062D"/>
    <w:rsid w:val="00800F0F"/>
    <w:rsid w:val="00801D28"/>
    <w:rsid w:val="00801E83"/>
    <w:rsid w:val="00801FCE"/>
    <w:rsid w:val="0080295E"/>
    <w:rsid w:val="00802A38"/>
    <w:rsid w:val="00802F90"/>
    <w:rsid w:val="00803E76"/>
    <w:rsid w:val="00804182"/>
    <w:rsid w:val="00804EF9"/>
    <w:rsid w:val="00804F85"/>
    <w:rsid w:val="00805520"/>
    <w:rsid w:val="008056C5"/>
    <w:rsid w:val="00805DBB"/>
    <w:rsid w:val="00805F0D"/>
    <w:rsid w:val="00807877"/>
    <w:rsid w:val="008102F1"/>
    <w:rsid w:val="00810EEC"/>
    <w:rsid w:val="00810F3A"/>
    <w:rsid w:val="00811520"/>
    <w:rsid w:val="0081347B"/>
    <w:rsid w:val="0081442D"/>
    <w:rsid w:val="008146AB"/>
    <w:rsid w:val="00814746"/>
    <w:rsid w:val="0081487C"/>
    <w:rsid w:val="00814B96"/>
    <w:rsid w:val="0081517B"/>
    <w:rsid w:val="00815738"/>
    <w:rsid w:val="0081645D"/>
    <w:rsid w:val="00816B51"/>
    <w:rsid w:val="00816BA3"/>
    <w:rsid w:val="00817C94"/>
    <w:rsid w:val="00820518"/>
    <w:rsid w:val="00820E0D"/>
    <w:rsid w:val="00821628"/>
    <w:rsid w:val="00821E7B"/>
    <w:rsid w:val="00823239"/>
    <w:rsid w:val="008236D8"/>
    <w:rsid w:val="008247E9"/>
    <w:rsid w:val="0082483E"/>
    <w:rsid w:val="00825653"/>
    <w:rsid w:val="00827A81"/>
    <w:rsid w:val="00827BD7"/>
    <w:rsid w:val="00827C64"/>
    <w:rsid w:val="008313A4"/>
    <w:rsid w:val="008318F8"/>
    <w:rsid w:val="00831981"/>
    <w:rsid w:val="008319B8"/>
    <w:rsid w:val="00831CDC"/>
    <w:rsid w:val="00832788"/>
    <w:rsid w:val="00832B41"/>
    <w:rsid w:val="008333C6"/>
    <w:rsid w:val="00834E3D"/>
    <w:rsid w:val="00834FAC"/>
    <w:rsid w:val="008350EE"/>
    <w:rsid w:val="0083584E"/>
    <w:rsid w:val="008378EA"/>
    <w:rsid w:val="00837F3E"/>
    <w:rsid w:val="0084040E"/>
    <w:rsid w:val="00840811"/>
    <w:rsid w:val="008414E5"/>
    <w:rsid w:val="00841D1A"/>
    <w:rsid w:val="008420D4"/>
    <w:rsid w:val="00842785"/>
    <w:rsid w:val="00842AF1"/>
    <w:rsid w:val="00842E94"/>
    <w:rsid w:val="00843606"/>
    <w:rsid w:val="00843676"/>
    <w:rsid w:val="00847295"/>
    <w:rsid w:val="00847F9D"/>
    <w:rsid w:val="00850607"/>
    <w:rsid w:val="00850E0B"/>
    <w:rsid w:val="008522A7"/>
    <w:rsid w:val="008541F0"/>
    <w:rsid w:val="00855A7A"/>
    <w:rsid w:val="008560E7"/>
    <w:rsid w:val="00856341"/>
    <w:rsid w:val="00856F71"/>
    <w:rsid w:val="00861316"/>
    <w:rsid w:val="00863623"/>
    <w:rsid w:val="008643C8"/>
    <w:rsid w:val="00864F9A"/>
    <w:rsid w:val="00865092"/>
    <w:rsid w:val="008653A9"/>
    <w:rsid w:val="00870555"/>
    <w:rsid w:val="008711A6"/>
    <w:rsid w:val="00871462"/>
    <w:rsid w:val="008719B7"/>
    <w:rsid w:val="00871A72"/>
    <w:rsid w:val="00871CF6"/>
    <w:rsid w:val="008725B4"/>
    <w:rsid w:val="00873729"/>
    <w:rsid w:val="00873B0C"/>
    <w:rsid w:val="008755BF"/>
    <w:rsid w:val="00875DB7"/>
    <w:rsid w:val="00876FB0"/>
    <w:rsid w:val="008773D5"/>
    <w:rsid w:val="008801E0"/>
    <w:rsid w:val="0088055E"/>
    <w:rsid w:val="0088079D"/>
    <w:rsid w:val="00881FA4"/>
    <w:rsid w:val="00882099"/>
    <w:rsid w:val="008820A5"/>
    <w:rsid w:val="00882217"/>
    <w:rsid w:val="00884552"/>
    <w:rsid w:val="00885449"/>
    <w:rsid w:val="008869F0"/>
    <w:rsid w:val="00886A3B"/>
    <w:rsid w:val="00886A46"/>
    <w:rsid w:val="00887356"/>
    <w:rsid w:val="008956F7"/>
    <w:rsid w:val="00895F11"/>
    <w:rsid w:val="00896915"/>
    <w:rsid w:val="00896F7C"/>
    <w:rsid w:val="008972E1"/>
    <w:rsid w:val="00897DC5"/>
    <w:rsid w:val="008A050A"/>
    <w:rsid w:val="008A078B"/>
    <w:rsid w:val="008A0E86"/>
    <w:rsid w:val="008A20D0"/>
    <w:rsid w:val="008A22CA"/>
    <w:rsid w:val="008A3ADE"/>
    <w:rsid w:val="008A4084"/>
    <w:rsid w:val="008A51C0"/>
    <w:rsid w:val="008A52DC"/>
    <w:rsid w:val="008A59A5"/>
    <w:rsid w:val="008A5DC9"/>
    <w:rsid w:val="008A79CE"/>
    <w:rsid w:val="008B07AC"/>
    <w:rsid w:val="008B0982"/>
    <w:rsid w:val="008B0FBC"/>
    <w:rsid w:val="008B124C"/>
    <w:rsid w:val="008B141C"/>
    <w:rsid w:val="008B156A"/>
    <w:rsid w:val="008B20DE"/>
    <w:rsid w:val="008B2267"/>
    <w:rsid w:val="008B37BD"/>
    <w:rsid w:val="008B3936"/>
    <w:rsid w:val="008B482F"/>
    <w:rsid w:val="008B5957"/>
    <w:rsid w:val="008B5B62"/>
    <w:rsid w:val="008B7593"/>
    <w:rsid w:val="008B792A"/>
    <w:rsid w:val="008B7963"/>
    <w:rsid w:val="008C1D48"/>
    <w:rsid w:val="008C2419"/>
    <w:rsid w:val="008C25FC"/>
    <w:rsid w:val="008C2772"/>
    <w:rsid w:val="008C359A"/>
    <w:rsid w:val="008C5D29"/>
    <w:rsid w:val="008C6113"/>
    <w:rsid w:val="008C713C"/>
    <w:rsid w:val="008C7387"/>
    <w:rsid w:val="008C7CE3"/>
    <w:rsid w:val="008D13CF"/>
    <w:rsid w:val="008D1814"/>
    <w:rsid w:val="008D1E39"/>
    <w:rsid w:val="008D26D1"/>
    <w:rsid w:val="008D31A3"/>
    <w:rsid w:val="008D4737"/>
    <w:rsid w:val="008D52F4"/>
    <w:rsid w:val="008D5504"/>
    <w:rsid w:val="008D590C"/>
    <w:rsid w:val="008D5BB8"/>
    <w:rsid w:val="008D6A3A"/>
    <w:rsid w:val="008D78F3"/>
    <w:rsid w:val="008E071C"/>
    <w:rsid w:val="008E1309"/>
    <w:rsid w:val="008E1EB7"/>
    <w:rsid w:val="008E24A2"/>
    <w:rsid w:val="008E2959"/>
    <w:rsid w:val="008E2AE7"/>
    <w:rsid w:val="008E324B"/>
    <w:rsid w:val="008E38DB"/>
    <w:rsid w:val="008E3BAD"/>
    <w:rsid w:val="008E43C5"/>
    <w:rsid w:val="008E449C"/>
    <w:rsid w:val="008E4A87"/>
    <w:rsid w:val="008E4AAA"/>
    <w:rsid w:val="008E5DF8"/>
    <w:rsid w:val="008E5ED3"/>
    <w:rsid w:val="008E6865"/>
    <w:rsid w:val="008F3266"/>
    <w:rsid w:val="008F3801"/>
    <w:rsid w:val="008F39BB"/>
    <w:rsid w:val="008F4062"/>
    <w:rsid w:val="008F49A7"/>
    <w:rsid w:val="008F5796"/>
    <w:rsid w:val="008F5D37"/>
    <w:rsid w:val="008F69FE"/>
    <w:rsid w:val="008F6C43"/>
    <w:rsid w:val="00900838"/>
    <w:rsid w:val="00900C82"/>
    <w:rsid w:val="00900E30"/>
    <w:rsid w:val="00901A76"/>
    <w:rsid w:val="00903074"/>
    <w:rsid w:val="009037CF"/>
    <w:rsid w:val="009037E2"/>
    <w:rsid w:val="00903849"/>
    <w:rsid w:val="00903A76"/>
    <w:rsid w:val="00903C2C"/>
    <w:rsid w:val="009046E4"/>
    <w:rsid w:val="0090472D"/>
    <w:rsid w:val="009049D9"/>
    <w:rsid w:val="00904B57"/>
    <w:rsid w:val="00905A76"/>
    <w:rsid w:val="00905DFE"/>
    <w:rsid w:val="009061F4"/>
    <w:rsid w:val="00907C2E"/>
    <w:rsid w:val="00907EE7"/>
    <w:rsid w:val="009104B8"/>
    <w:rsid w:val="00910D2F"/>
    <w:rsid w:val="00910ECA"/>
    <w:rsid w:val="00910F88"/>
    <w:rsid w:val="00911C1D"/>
    <w:rsid w:val="009123CD"/>
    <w:rsid w:val="00913040"/>
    <w:rsid w:val="00913B3A"/>
    <w:rsid w:val="00914749"/>
    <w:rsid w:val="00914E44"/>
    <w:rsid w:val="00914F71"/>
    <w:rsid w:val="00915057"/>
    <w:rsid w:val="0091541A"/>
    <w:rsid w:val="00915EDD"/>
    <w:rsid w:val="009160D3"/>
    <w:rsid w:val="0092037B"/>
    <w:rsid w:val="00920490"/>
    <w:rsid w:val="00920823"/>
    <w:rsid w:val="00922C00"/>
    <w:rsid w:val="009235AD"/>
    <w:rsid w:val="00923ED8"/>
    <w:rsid w:val="0092470D"/>
    <w:rsid w:val="00925936"/>
    <w:rsid w:val="00925A8D"/>
    <w:rsid w:val="00930C87"/>
    <w:rsid w:val="009319CB"/>
    <w:rsid w:val="00933A04"/>
    <w:rsid w:val="00934D5D"/>
    <w:rsid w:val="00936860"/>
    <w:rsid w:val="00936A50"/>
    <w:rsid w:val="0094004F"/>
    <w:rsid w:val="00940BF9"/>
    <w:rsid w:val="00940E8D"/>
    <w:rsid w:val="009420C1"/>
    <w:rsid w:val="00942FAA"/>
    <w:rsid w:val="009432EE"/>
    <w:rsid w:val="00943802"/>
    <w:rsid w:val="009439FD"/>
    <w:rsid w:val="009447FE"/>
    <w:rsid w:val="0094512F"/>
    <w:rsid w:val="00945145"/>
    <w:rsid w:val="00945768"/>
    <w:rsid w:val="00945BA0"/>
    <w:rsid w:val="00945D40"/>
    <w:rsid w:val="0094615C"/>
    <w:rsid w:val="00947519"/>
    <w:rsid w:val="0095002C"/>
    <w:rsid w:val="009503DD"/>
    <w:rsid w:val="009503FD"/>
    <w:rsid w:val="00950CCE"/>
    <w:rsid w:val="0095143F"/>
    <w:rsid w:val="009524AF"/>
    <w:rsid w:val="009529F9"/>
    <w:rsid w:val="009533FE"/>
    <w:rsid w:val="009552A6"/>
    <w:rsid w:val="00956314"/>
    <w:rsid w:val="00956603"/>
    <w:rsid w:val="0095720B"/>
    <w:rsid w:val="00957951"/>
    <w:rsid w:val="009605F6"/>
    <w:rsid w:val="00960E80"/>
    <w:rsid w:val="009610E3"/>
    <w:rsid w:val="00961351"/>
    <w:rsid w:val="009619CF"/>
    <w:rsid w:val="00961A06"/>
    <w:rsid w:val="00963117"/>
    <w:rsid w:val="00963A2F"/>
    <w:rsid w:val="0096435C"/>
    <w:rsid w:val="009645B6"/>
    <w:rsid w:val="00965868"/>
    <w:rsid w:val="00965C1E"/>
    <w:rsid w:val="00966779"/>
    <w:rsid w:val="0097189F"/>
    <w:rsid w:val="0097190F"/>
    <w:rsid w:val="00975FD5"/>
    <w:rsid w:val="00976E5C"/>
    <w:rsid w:val="00976FB9"/>
    <w:rsid w:val="00980485"/>
    <w:rsid w:val="00981EF3"/>
    <w:rsid w:val="00981EF5"/>
    <w:rsid w:val="009838BF"/>
    <w:rsid w:val="00983E07"/>
    <w:rsid w:val="0098439E"/>
    <w:rsid w:val="00984A69"/>
    <w:rsid w:val="00984FCC"/>
    <w:rsid w:val="0098556D"/>
    <w:rsid w:val="00985AED"/>
    <w:rsid w:val="00990565"/>
    <w:rsid w:val="00990825"/>
    <w:rsid w:val="009912A8"/>
    <w:rsid w:val="009913C8"/>
    <w:rsid w:val="00991B5C"/>
    <w:rsid w:val="00992255"/>
    <w:rsid w:val="00992526"/>
    <w:rsid w:val="0099287D"/>
    <w:rsid w:val="009933B1"/>
    <w:rsid w:val="0099384A"/>
    <w:rsid w:val="00993D0B"/>
    <w:rsid w:val="009944BD"/>
    <w:rsid w:val="00994609"/>
    <w:rsid w:val="00994B9F"/>
    <w:rsid w:val="009958D6"/>
    <w:rsid w:val="00996280"/>
    <w:rsid w:val="009967BE"/>
    <w:rsid w:val="0099745C"/>
    <w:rsid w:val="00997864"/>
    <w:rsid w:val="00997C03"/>
    <w:rsid w:val="009A0545"/>
    <w:rsid w:val="009A0EFF"/>
    <w:rsid w:val="009A1463"/>
    <w:rsid w:val="009A31A1"/>
    <w:rsid w:val="009A3D54"/>
    <w:rsid w:val="009A400E"/>
    <w:rsid w:val="009A440E"/>
    <w:rsid w:val="009A4C3F"/>
    <w:rsid w:val="009A56C0"/>
    <w:rsid w:val="009A59FE"/>
    <w:rsid w:val="009A6921"/>
    <w:rsid w:val="009A6C46"/>
    <w:rsid w:val="009A6EF9"/>
    <w:rsid w:val="009A7338"/>
    <w:rsid w:val="009A74F3"/>
    <w:rsid w:val="009A776A"/>
    <w:rsid w:val="009A7915"/>
    <w:rsid w:val="009B0660"/>
    <w:rsid w:val="009B1572"/>
    <w:rsid w:val="009B173A"/>
    <w:rsid w:val="009B181C"/>
    <w:rsid w:val="009B1A47"/>
    <w:rsid w:val="009B26E3"/>
    <w:rsid w:val="009B27B1"/>
    <w:rsid w:val="009B2B66"/>
    <w:rsid w:val="009B2EF9"/>
    <w:rsid w:val="009B2F1F"/>
    <w:rsid w:val="009B3213"/>
    <w:rsid w:val="009B37BD"/>
    <w:rsid w:val="009B3C16"/>
    <w:rsid w:val="009B44C5"/>
    <w:rsid w:val="009B6373"/>
    <w:rsid w:val="009B6D67"/>
    <w:rsid w:val="009B6F4F"/>
    <w:rsid w:val="009B7FA8"/>
    <w:rsid w:val="009C0E81"/>
    <w:rsid w:val="009C1067"/>
    <w:rsid w:val="009C19B8"/>
    <w:rsid w:val="009C2004"/>
    <w:rsid w:val="009C2885"/>
    <w:rsid w:val="009C3208"/>
    <w:rsid w:val="009C3B00"/>
    <w:rsid w:val="009C46BE"/>
    <w:rsid w:val="009C5261"/>
    <w:rsid w:val="009C5629"/>
    <w:rsid w:val="009C5B28"/>
    <w:rsid w:val="009C5C80"/>
    <w:rsid w:val="009C6229"/>
    <w:rsid w:val="009C6482"/>
    <w:rsid w:val="009C69D0"/>
    <w:rsid w:val="009C6DEB"/>
    <w:rsid w:val="009C6EC5"/>
    <w:rsid w:val="009C7EFB"/>
    <w:rsid w:val="009D0315"/>
    <w:rsid w:val="009D079E"/>
    <w:rsid w:val="009D1B09"/>
    <w:rsid w:val="009D20C9"/>
    <w:rsid w:val="009D2FA6"/>
    <w:rsid w:val="009D3458"/>
    <w:rsid w:val="009D38C7"/>
    <w:rsid w:val="009D3A04"/>
    <w:rsid w:val="009D7524"/>
    <w:rsid w:val="009E2D70"/>
    <w:rsid w:val="009E2E80"/>
    <w:rsid w:val="009E3F07"/>
    <w:rsid w:val="009E4AAF"/>
    <w:rsid w:val="009E5019"/>
    <w:rsid w:val="009E51A8"/>
    <w:rsid w:val="009E6B93"/>
    <w:rsid w:val="009E794A"/>
    <w:rsid w:val="009F0215"/>
    <w:rsid w:val="009F0E08"/>
    <w:rsid w:val="009F13CB"/>
    <w:rsid w:val="009F16DE"/>
    <w:rsid w:val="009F17CE"/>
    <w:rsid w:val="009F1AA4"/>
    <w:rsid w:val="009F3F93"/>
    <w:rsid w:val="009F4BF5"/>
    <w:rsid w:val="009F4F8F"/>
    <w:rsid w:val="009F7330"/>
    <w:rsid w:val="009F7BC0"/>
    <w:rsid w:val="00A00427"/>
    <w:rsid w:val="00A00646"/>
    <w:rsid w:val="00A00D9F"/>
    <w:rsid w:val="00A015AD"/>
    <w:rsid w:val="00A01E1A"/>
    <w:rsid w:val="00A01E22"/>
    <w:rsid w:val="00A02692"/>
    <w:rsid w:val="00A02E7C"/>
    <w:rsid w:val="00A02EA2"/>
    <w:rsid w:val="00A03748"/>
    <w:rsid w:val="00A04D77"/>
    <w:rsid w:val="00A058E1"/>
    <w:rsid w:val="00A063D2"/>
    <w:rsid w:val="00A06A3B"/>
    <w:rsid w:val="00A07ADB"/>
    <w:rsid w:val="00A10792"/>
    <w:rsid w:val="00A111C8"/>
    <w:rsid w:val="00A11580"/>
    <w:rsid w:val="00A122C8"/>
    <w:rsid w:val="00A12467"/>
    <w:rsid w:val="00A125AE"/>
    <w:rsid w:val="00A127A4"/>
    <w:rsid w:val="00A12931"/>
    <w:rsid w:val="00A12B39"/>
    <w:rsid w:val="00A12BB2"/>
    <w:rsid w:val="00A1320C"/>
    <w:rsid w:val="00A13852"/>
    <w:rsid w:val="00A140D8"/>
    <w:rsid w:val="00A15955"/>
    <w:rsid w:val="00A15DBD"/>
    <w:rsid w:val="00A163B3"/>
    <w:rsid w:val="00A1731D"/>
    <w:rsid w:val="00A17ACC"/>
    <w:rsid w:val="00A17C0F"/>
    <w:rsid w:val="00A2046D"/>
    <w:rsid w:val="00A21DC6"/>
    <w:rsid w:val="00A221E8"/>
    <w:rsid w:val="00A23A0C"/>
    <w:rsid w:val="00A260B7"/>
    <w:rsid w:val="00A2634D"/>
    <w:rsid w:val="00A26B61"/>
    <w:rsid w:val="00A26D2D"/>
    <w:rsid w:val="00A279E2"/>
    <w:rsid w:val="00A3152F"/>
    <w:rsid w:val="00A31A2E"/>
    <w:rsid w:val="00A31BCE"/>
    <w:rsid w:val="00A339BA"/>
    <w:rsid w:val="00A3457A"/>
    <w:rsid w:val="00A34FB0"/>
    <w:rsid w:val="00A36E23"/>
    <w:rsid w:val="00A40BC3"/>
    <w:rsid w:val="00A42EBA"/>
    <w:rsid w:val="00A43495"/>
    <w:rsid w:val="00A43BBB"/>
    <w:rsid w:val="00A46301"/>
    <w:rsid w:val="00A46500"/>
    <w:rsid w:val="00A46956"/>
    <w:rsid w:val="00A472F9"/>
    <w:rsid w:val="00A47334"/>
    <w:rsid w:val="00A5153F"/>
    <w:rsid w:val="00A52EC0"/>
    <w:rsid w:val="00A53915"/>
    <w:rsid w:val="00A55832"/>
    <w:rsid w:val="00A55E13"/>
    <w:rsid w:val="00A5673B"/>
    <w:rsid w:val="00A60AA5"/>
    <w:rsid w:val="00A60C99"/>
    <w:rsid w:val="00A619F2"/>
    <w:rsid w:val="00A61A29"/>
    <w:rsid w:val="00A61C49"/>
    <w:rsid w:val="00A631DA"/>
    <w:rsid w:val="00A632C1"/>
    <w:rsid w:val="00A639A3"/>
    <w:rsid w:val="00A641C0"/>
    <w:rsid w:val="00A6489A"/>
    <w:rsid w:val="00A650EC"/>
    <w:rsid w:val="00A654E8"/>
    <w:rsid w:val="00A65D8D"/>
    <w:rsid w:val="00A67216"/>
    <w:rsid w:val="00A67608"/>
    <w:rsid w:val="00A7057A"/>
    <w:rsid w:val="00A706C7"/>
    <w:rsid w:val="00A7089A"/>
    <w:rsid w:val="00A70C20"/>
    <w:rsid w:val="00A70D41"/>
    <w:rsid w:val="00A710EA"/>
    <w:rsid w:val="00A71435"/>
    <w:rsid w:val="00A71784"/>
    <w:rsid w:val="00A72128"/>
    <w:rsid w:val="00A72708"/>
    <w:rsid w:val="00A727EC"/>
    <w:rsid w:val="00A72C16"/>
    <w:rsid w:val="00A72E42"/>
    <w:rsid w:val="00A72F47"/>
    <w:rsid w:val="00A7321C"/>
    <w:rsid w:val="00A7322D"/>
    <w:rsid w:val="00A73A67"/>
    <w:rsid w:val="00A7444A"/>
    <w:rsid w:val="00A745F3"/>
    <w:rsid w:val="00A74D20"/>
    <w:rsid w:val="00A7512B"/>
    <w:rsid w:val="00A76948"/>
    <w:rsid w:val="00A7785E"/>
    <w:rsid w:val="00A77F00"/>
    <w:rsid w:val="00A80EF6"/>
    <w:rsid w:val="00A822F3"/>
    <w:rsid w:val="00A843AB"/>
    <w:rsid w:val="00A86F0E"/>
    <w:rsid w:val="00A87774"/>
    <w:rsid w:val="00A877C9"/>
    <w:rsid w:val="00A878A8"/>
    <w:rsid w:val="00A90894"/>
    <w:rsid w:val="00A910C2"/>
    <w:rsid w:val="00A91FE4"/>
    <w:rsid w:val="00A92FE3"/>
    <w:rsid w:val="00A964A9"/>
    <w:rsid w:val="00A9686B"/>
    <w:rsid w:val="00A972CF"/>
    <w:rsid w:val="00AA090B"/>
    <w:rsid w:val="00AA0C49"/>
    <w:rsid w:val="00AA0DE9"/>
    <w:rsid w:val="00AA0FB5"/>
    <w:rsid w:val="00AA1597"/>
    <w:rsid w:val="00AA20F9"/>
    <w:rsid w:val="00AA3799"/>
    <w:rsid w:val="00AA3BC7"/>
    <w:rsid w:val="00AA486F"/>
    <w:rsid w:val="00AA4C3D"/>
    <w:rsid w:val="00AA6261"/>
    <w:rsid w:val="00AA6E69"/>
    <w:rsid w:val="00AA6EBD"/>
    <w:rsid w:val="00AA78D0"/>
    <w:rsid w:val="00AA7951"/>
    <w:rsid w:val="00AA7A09"/>
    <w:rsid w:val="00AB214E"/>
    <w:rsid w:val="00AB3ACF"/>
    <w:rsid w:val="00AB5272"/>
    <w:rsid w:val="00AB5A6A"/>
    <w:rsid w:val="00AB5AF7"/>
    <w:rsid w:val="00AB67D3"/>
    <w:rsid w:val="00AB6A93"/>
    <w:rsid w:val="00AB6AA3"/>
    <w:rsid w:val="00AB7C91"/>
    <w:rsid w:val="00AB7DFE"/>
    <w:rsid w:val="00AC0F7D"/>
    <w:rsid w:val="00AC162D"/>
    <w:rsid w:val="00AC17A2"/>
    <w:rsid w:val="00AC4CD2"/>
    <w:rsid w:val="00AC7F9D"/>
    <w:rsid w:val="00AD063A"/>
    <w:rsid w:val="00AD1CC9"/>
    <w:rsid w:val="00AD230C"/>
    <w:rsid w:val="00AD252F"/>
    <w:rsid w:val="00AD394C"/>
    <w:rsid w:val="00AD3FFD"/>
    <w:rsid w:val="00AD40F7"/>
    <w:rsid w:val="00AD4515"/>
    <w:rsid w:val="00AD4AF3"/>
    <w:rsid w:val="00AD51AD"/>
    <w:rsid w:val="00AD55BF"/>
    <w:rsid w:val="00AD59DB"/>
    <w:rsid w:val="00AD6403"/>
    <w:rsid w:val="00AD6EA1"/>
    <w:rsid w:val="00AD730F"/>
    <w:rsid w:val="00AE12A6"/>
    <w:rsid w:val="00AE230C"/>
    <w:rsid w:val="00AE29ED"/>
    <w:rsid w:val="00AE363F"/>
    <w:rsid w:val="00AE39D6"/>
    <w:rsid w:val="00AE3C03"/>
    <w:rsid w:val="00AE3D4C"/>
    <w:rsid w:val="00AE3F92"/>
    <w:rsid w:val="00AE5E70"/>
    <w:rsid w:val="00AE5F3E"/>
    <w:rsid w:val="00AE71B9"/>
    <w:rsid w:val="00AE7575"/>
    <w:rsid w:val="00AE791D"/>
    <w:rsid w:val="00AF1907"/>
    <w:rsid w:val="00AF25C1"/>
    <w:rsid w:val="00AF3010"/>
    <w:rsid w:val="00AF3696"/>
    <w:rsid w:val="00AF3DC7"/>
    <w:rsid w:val="00AF45F4"/>
    <w:rsid w:val="00AF480C"/>
    <w:rsid w:val="00AF5693"/>
    <w:rsid w:val="00AF5826"/>
    <w:rsid w:val="00AF5898"/>
    <w:rsid w:val="00AF5901"/>
    <w:rsid w:val="00AF62E8"/>
    <w:rsid w:val="00AF7ACC"/>
    <w:rsid w:val="00AF7FA1"/>
    <w:rsid w:val="00B0206F"/>
    <w:rsid w:val="00B0258C"/>
    <w:rsid w:val="00B027B3"/>
    <w:rsid w:val="00B0349E"/>
    <w:rsid w:val="00B03788"/>
    <w:rsid w:val="00B041B9"/>
    <w:rsid w:val="00B059CD"/>
    <w:rsid w:val="00B07962"/>
    <w:rsid w:val="00B07DC1"/>
    <w:rsid w:val="00B07DF5"/>
    <w:rsid w:val="00B1058E"/>
    <w:rsid w:val="00B11E5B"/>
    <w:rsid w:val="00B12036"/>
    <w:rsid w:val="00B123C3"/>
    <w:rsid w:val="00B123F3"/>
    <w:rsid w:val="00B129D7"/>
    <w:rsid w:val="00B12F34"/>
    <w:rsid w:val="00B13129"/>
    <w:rsid w:val="00B13AF7"/>
    <w:rsid w:val="00B13D96"/>
    <w:rsid w:val="00B13EDA"/>
    <w:rsid w:val="00B140B0"/>
    <w:rsid w:val="00B14942"/>
    <w:rsid w:val="00B14C67"/>
    <w:rsid w:val="00B15479"/>
    <w:rsid w:val="00B15ECB"/>
    <w:rsid w:val="00B16166"/>
    <w:rsid w:val="00B16546"/>
    <w:rsid w:val="00B2005E"/>
    <w:rsid w:val="00B20352"/>
    <w:rsid w:val="00B2079D"/>
    <w:rsid w:val="00B2112D"/>
    <w:rsid w:val="00B21BCF"/>
    <w:rsid w:val="00B21E7D"/>
    <w:rsid w:val="00B22D8A"/>
    <w:rsid w:val="00B234B7"/>
    <w:rsid w:val="00B23CF3"/>
    <w:rsid w:val="00B2444C"/>
    <w:rsid w:val="00B245CC"/>
    <w:rsid w:val="00B2572A"/>
    <w:rsid w:val="00B25998"/>
    <w:rsid w:val="00B26A7E"/>
    <w:rsid w:val="00B279C5"/>
    <w:rsid w:val="00B27CD5"/>
    <w:rsid w:val="00B300CD"/>
    <w:rsid w:val="00B31A06"/>
    <w:rsid w:val="00B32295"/>
    <w:rsid w:val="00B32435"/>
    <w:rsid w:val="00B32B8E"/>
    <w:rsid w:val="00B3301E"/>
    <w:rsid w:val="00B33450"/>
    <w:rsid w:val="00B33487"/>
    <w:rsid w:val="00B33CD5"/>
    <w:rsid w:val="00B34913"/>
    <w:rsid w:val="00B355FC"/>
    <w:rsid w:val="00B35666"/>
    <w:rsid w:val="00B35C7E"/>
    <w:rsid w:val="00B36C49"/>
    <w:rsid w:val="00B37622"/>
    <w:rsid w:val="00B41753"/>
    <w:rsid w:val="00B41A33"/>
    <w:rsid w:val="00B42577"/>
    <w:rsid w:val="00B4296F"/>
    <w:rsid w:val="00B42AC7"/>
    <w:rsid w:val="00B42C97"/>
    <w:rsid w:val="00B42FA5"/>
    <w:rsid w:val="00B4354F"/>
    <w:rsid w:val="00B43E12"/>
    <w:rsid w:val="00B44D6C"/>
    <w:rsid w:val="00B44DE6"/>
    <w:rsid w:val="00B45A4A"/>
    <w:rsid w:val="00B465C2"/>
    <w:rsid w:val="00B46CA9"/>
    <w:rsid w:val="00B47969"/>
    <w:rsid w:val="00B50B2B"/>
    <w:rsid w:val="00B50B53"/>
    <w:rsid w:val="00B50F8D"/>
    <w:rsid w:val="00B52AA3"/>
    <w:rsid w:val="00B53FEA"/>
    <w:rsid w:val="00B54EB7"/>
    <w:rsid w:val="00B56022"/>
    <w:rsid w:val="00B56984"/>
    <w:rsid w:val="00B56B16"/>
    <w:rsid w:val="00B5728B"/>
    <w:rsid w:val="00B57BDC"/>
    <w:rsid w:val="00B57C13"/>
    <w:rsid w:val="00B57C44"/>
    <w:rsid w:val="00B619AF"/>
    <w:rsid w:val="00B62134"/>
    <w:rsid w:val="00B642D5"/>
    <w:rsid w:val="00B64B00"/>
    <w:rsid w:val="00B65AAE"/>
    <w:rsid w:val="00B67F98"/>
    <w:rsid w:val="00B70B10"/>
    <w:rsid w:val="00B724E2"/>
    <w:rsid w:val="00B72504"/>
    <w:rsid w:val="00B74496"/>
    <w:rsid w:val="00B7462E"/>
    <w:rsid w:val="00B74E46"/>
    <w:rsid w:val="00B76669"/>
    <w:rsid w:val="00B769B9"/>
    <w:rsid w:val="00B7746A"/>
    <w:rsid w:val="00B777E7"/>
    <w:rsid w:val="00B778AC"/>
    <w:rsid w:val="00B8065B"/>
    <w:rsid w:val="00B81B3A"/>
    <w:rsid w:val="00B841EA"/>
    <w:rsid w:val="00B84A2E"/>
    <w:rsid w:val="00B84B98"/>
    <w:rsid w:val="00B84D57"/>
    <w:rsid w:val="00B84F56"/>
    <w:rsid w:val="00B8518F"/>
    <w:rsid w:val="00B85D94"/>
    <w:rsid w:val="00B866BD"/>
    <w:rsid w:val="00B86C1A"/>
    <w:rsid w:val="00B871A6"/>
    <w:rsid w:val="00B873C3"/>
    <w:rsid w:val="00B8749A"/>
    <w:rsid w:val="00B90ED0"/>
    <w:rsid w:val="00B90F94"/>
    <w:rsid w:val="00B91361"/>
    <w:rsid w:val="00B92400"/>
    <w:rsid w:val="00B926F8"/>
    <w:rsid w:val="00B92BF4"/>
    <w:rsid w:val="00B93324"/>
    <w:rsid w:val="00B9357B"/>
    <w:rsid w:val="00B9359A"/>
    <w:rsid w:val="00B9582E"/>
    <w:rsid w:val="00B964CC"/>
    <w:rsid w:val="00B971C0"/>
    <w:rsid w:val="00B97BCA"/>
    <w:rsid w:val="00B97C7C"/>
    <w:rsid w:val="00BA009D"/>
    <w:rsid w:val="00BA13BC"/>
    <w:rsid w:val="00BA2FEC"/>
    <w:rsid w:val="00BA364A"/>
    <w:rsid w:val="00BA3B0B"/>
    <w:rsid w:val="00BA48CC"/>
    <w:rsid w:val="00BA565E"/>
    <w:rsid w:val="00BA5E1A"/>
    <w:rsid w:val="00BA6D40"/>
    <w:rsid w:val="00BA7CAD"/>
    <w:rsid w:val="00BA7F13"/>
    <w:rsid w:val="00BB0994"/>
    <w:rsid w:val="00BB31D3"/>
    <w:rsid w:val="00BB3BC1"/>
    <w:rsid w:val="00BB4471"/>
    <w:rsid w:val="00BB4CB8"/>
    <w:rsid w:val="00BB5CA1"/>
    <w:rsid w:val="00BB7C1D"/>
    <w:rsid w:val="00BC03CF"/>
    <w:rsid w:val="00BC1013"/>
    <w:rsid w:val="00BC2241"/>
    <w:rsid w:val="00BC2962"/>
    <w:rsid w:val="00BC2B45"/>
    <w:rsid w:val="00BC3212"/>
    <w:rsid w:val="00BC3819"/>
    <w:rsid w:val="00BC3C54"/>
    <w:rsid w:val="00BC453A"/>
    <w:rsid w:val="00BC51FA"/>
    <w:rsid w:val="00BC6071"/>
    <w:rsid w:val="00BC6975"/>
    <w:rsid w:val="00BC7C5F"/>
    <w:rsid w:val="00BD087B"/>
    <w:rsid w:val="00BD1406"/>
    <w:rsid w:val="00BD1DE9"/>
    <w:rsid w:val="00BD1F01"/>
    <w:rsid w:val="00BD1F73"/>
    <w:rsid w:val="00BD2206"/>
    <w:rsid w:val="00BD260B"/>
    <w:rsid w:val="00BD2CC7"/>
    <w:rsid w:val="00BD33CE"/>
    <w:rsid w:val="00BD3677"/>
    <w:rsid w:val="00BD37BA"/>
    <w:rsid w:val="00BD3B54"/>
    <w:rsid w:val="00BD3B8D"/>
    <w:rsid w:val="00BD3E7C"/>
    <w:rsid w:val="00BD444A"/>
    <w:rsid w:val="00BD4C75"/>
    <w:rsid w:val="00BD6238"/>
    <w:rsid w:val="00BD719D"/>
    <w:rsid w:val="00BE000A"/>
    <w:rsid w:val="00BE00FF"/>
    <w:rsid w:val="00BE039E"/>
    <w:rsid w:val="00BE09A2"/>
    <w:rsid w:val="00BE0C26"/>
    <w:rsid w:val="00BE0DB2"/>
    <w:rsid w:val="00BE2151"/>
    <w:rsid w:val="00BE4029"/>
    <w:rsid w:val="00BE484E"/>
    <w:rsid w:val="00BE501A"/>
    <w:rsid w:val="00BE78F8"/>
    <w:rsid w:val="00BF07EB"/>
    <w:rsid w:val="00BF36BA"/>
    <w:rsid w:val="00BF4C79"/>
    <w:rsid w:val="00BF53A0"/>
    <w:rsid w:val="00BF6433"/>
    <w:rsid w:val="00BF736E"/>
    <w:rsid w:val="00C001B4"/>
    <w:rsid w:val="00C002C7"/>
    <w:rsid w:val="00C0042F"/>
    <w:rsid w:val="00C007BC"/>
    <w:rsid w:val="00C00B29"/>
    <w:rsid w:val="00C02A1E"/>
    <w:rsid w:val="00C033A2"/>
    <w:rsid w:val="00C03EE3"/>
    <w:rsid w:val="00C04633"/>
    <w:rsid w:val="00C048FD"/>
    <w:rsid w:val="00C049BF"/>
    <w:rsid w:val="00C04D26"/>
    <w:rsid w:val="00C04F70"/>
    <w:rsid w:val="00C0522D"/>
    <w:rsid w:val="00C069A5"/>
    <w:rsid w:val="00C06B02"/>
    <w:rsid w:val="00C06D67"/>
    <w:rsid w:val="00C070C0"/>
    <w:rsid w:val="00C07614"/>
    <w:rsid w:val="00C10382"/>
    <w:rsid w:val="00C108AA"/>
    <w:rsid w:val="00C10DD5"/>
    <w:rsid w:val="00C1148B"/>
    <w:rsid w:val="00C12465"/>
    <w:rsid w:val="00C13309"/>
    <w:rsid w:val="00C137EA"/>
    <w:rsid w:val="00C13C2F"/>
    <w:rsid w:val="00C14295"/>
    <w:rsid w:val="00C15DEC"/>
    <w:rsid w:val="00C16914"/>
    <w:rsid w:val="00C16A34"/>
    <w:rsid w:val="00C16A60"/>
    <w:rsid w:val="00C17CCA"/>
    <w:rsid w:val="00C20BEF"/>
    <w:rsid w:val="00C21815"/>
    <w:rsid w:val="00C22867"/>
    <w:rsid w:val="00C2305F"/>
    <w:rsid w:val="00C23339"/>
    <w:rsid w:val="00C23DF6"/>
    <w:rsid w:val="00C24005"/>
    <w:rsid w:val="00C251E8"/>
    <w:rsid w:val="00C25EAA"/>
    <w:rsid w:val="00C2613B"/>
    <w:rsid w:val="00C263F3"/>
    <w:rsid w:val="00C26514"/>
    <w:rsid w:val="00C26628"/>
    <w:rsid w:val="00C31D1E"/>
    <w:rsid w:val="00C31E0C"/>
    <w:rsid w:val="00C321B4"/>
    <w:rsid w:val="00C32D49"/>
    <w:rsid w:val="00C33094"/>
    <w:rsid w:val="00C35AC9"/>
    <w:rsid w:val="00C36AA8"/>
    <w:rsid w:val="00C36C32"/>
    <w:rsid w:val="00C36E0F"/>
    <w:rsid w:val="00C36F5C"/>
    <w:rsid w:val="00C37460"/>
    <w:rsid w:val="00C40037"/>
    <w:rsid w:val="00C40C56"/>
    <w:rsid w:val="00C412CC"/>
    <w:rsid w:val="00C42527"/>
    <w:rsid w:val="00C43769"/>
    <w:rsid w:val="00C43CC9"/>
    <w:rsid w:val="00C4441F"/>
    <w:rsid w:val="00C445E8"/>
    <w:rsid w:val="00C45EFE"/>
    <w:rsid w:val="00C47F77"/>
    <w:rsid w:val="00C504D7"/>
    <w:rsid w:val="00C50ADC"/>
    <w:rsid w:val="00C50AE7"/>
    <w:rsid w:val="00C50BCD"/>
    <w:rsid w:val="00C51148"/>
    <w:rsid w:val="00C511DB"/>
    <w:rsid w:val="00C5179F"/>
    <w:rsid w:val="00C51F4C"/>
    <w:rsid w:val="00C52DFC"/>
    <w:rsid w:val="00C539C2"/>
    <w:rsid w:val="00C568C8"/>
    <w:rsid w:val="00C57099"/>
    <w:rsid w:val="00C576CC"/>
    <w:rsid w:val="00C57ABE"/>
    <w:rsid w:val="00C609F2"/>
    <w:rsid w:val="00C61561"/>
    <w:rsid w:val="00C61988"/>
    <w:rsid w:val="00C63465"/>
    <w:rsid w:val="00C641F4"/>
    <w:rsid w:val="00C663B4"/>
    <w:rsid w:val="00C663C4"/>
    <w:rsid w:val="00C66517"/>
    <w:rsid w:val="00C666EC"/>
    <w:rsid w:val="00C66813"/>
    <w:rsid w:val="00C67341"/>
    <w:rsid w:val="00C6735F"/>
    <w:rsid w:val="00C67E4C"/>
    <w:rsid w:val="00C67E92"/>
    <w:rsid w:val="00C706A2"/>
    <w:rsid w:val="00C71FBB"/>
    <w:rsid w:val="00C72017"/>
    <w:rsid w:val="00C72F61"/>
    <w:rsid w:val="00C747FF"/>
    <w:rsid w:val="00C74BC1"/>
    <w:rsid w:val="00C752B1"/>
    <w:rsid w:val="00C75721"/>
    <w:rsid w:val="00C75909"/>
    <w:rsid w:val="00C7662B"/>
    <w:rsid w:val="00C77197"/>
    <w:rsid w:val="00C778A1"/>
    <w:rsid w:val="00C80B7D"/>
    <w:rsid w:val="00C80C63"/>
    <w:rsid w:val="00C80D68"/>
    <w:rsid w:val="00C8143E"/>
    <w:rsid w:val="00C82EE5"/>
    <w:rsid w:val="00C830F0"/>
    <w:rsid w:val="00C8520B"/>
    <w:rsid w:val="00C8635C"/>
    <w:rsid w:val="00C8639B"/>
    <w:rsid w:val="00C86663"/>
    <w:rsid w:val="00C87525"/>
    <w:rsid w:val="00C87A02"/>
    <w:rsid w:val="00C87A56"/>
    <w:rsid w:val="00C90699"/>
    <w:rsid w:val="00C915BA"/>
    <w:rsid w:val="00C91878"/>
    <w:rsid w:val="00C92618"/>
    <w:rsid w:val="00C92DF9"/>
    <w:rsid w:val="00C943A2"/>
    <w:rsid w:val="00C94A79"/>
    <w:rsid w:val="00C95112"/>
    <w:rsid w:val="00C9539C"/>
    <w:rsid w:val="00C955EE"/>
    <w:rsid w:val="00C96615"/>
    <w:rsid w:val="00C9687A"/>
    <w:rsid w:val="00C976CB"/>
    <w:rsid w:val="00C97828"/>
    <w:rsid w:val="00CA3D1A"/>
    <w:rsid w:val="00CA48BD"/>
    <w:rsid w:val="00CA4AB4"/>
    <w:rsid w:val="00CA5873"/>
    <w:rsid w:val="00CA5CA6"/>
    <w:rsid w:val="00CA5D0B"/>
    <w:rsid w:val="00CA77C8"/>
    <w:rsid w:val="00CA7EC1"/>
    <w:rsid w:val="00CB0AD1"/>
    <w:rsid w:val="00CB10AD"/>
    <w:rsid w:val="00CB13CE"/>
    <w:rsid w:val="00CB146F"/>
    <w:rsid w:val="00CB224E"/>
    <w:rsid w:val="00CB3D90"/>
    <w:rsid w:val="00CB4269"/>
    <w:rsid w:val="00CB4A19"/>
    <w:rsid w:val="00CB4CAC"/>
    <w:rsid w:val="00CB62E0"/>
    <w:rsid w:val="00CB6601"/>
    <w:rsid w:val="00CB6DA5"/>
    <w:rsid w:val="00CB7C6A"/>
    <w:rsid w:val="00CC0BD7"/>
    <w:rsid w:val="00CC3A7E"/>
    <w:rsid w:val="00CC3E58"/>
    <w:rsid w:val="00CC40E8"/>
    <w:rsid w:val="00CC58FE"/>
    <w:rsid w:val="00CC6590"/>
    <w:rsid w:val="00CD0E8A"/>
    <w:rsid w:val="00CD1232"/>
    <w:rsid w:val="00CD1275"/>
    <w:rsid w:val="00CD2A14"/>
    <w:rsid w:val="00CD38A8"/>
    <w:rsid w:val="00CD5158"/>
    <w:rsid w:val="00CD5AFC"/>
    <w:rsid w:val="00CD67BA"/>
    <w:rsid w:val="00CD6AC9"/>
    <w:rsid w:val="00CD6F0A"/>
    <w:rsid w:val="00CD7E3A"/>
    <w:rsid w:val="00CE00BB"/>
    <w:rsid w:val="00CE0316"/>
    <w:rsid w:val="00CE03E1"/>
    <w:rsid w:val="00CE0B14"/>
    <w:rsid w:val="00CE19FE"/>
    <w:rsid w:val="00CE207C"/>
    <w:rsid w:val="00CE2557"/>
    <w:rsid w:val="00CE39FE"/>
    <w:rsid w:val="00CE629A"/>
    <w:rsid w:val="00CE727C"/>
    <w:rsid w:val="00CE752B"/>
    <w:rsid w:val="00CE7AEE"/>
    <w:rsid w:val="00CF00C7"/>
    <w:rsid w:val="00CF01FB"/>
    <w:rsid w:val="00CF116D"/>
    <w:rsid w:val="00CF1718"/>
    <w:rsid w:val="00CF3777"/>
    <w:rsid w:val="00CF3FB6"/>
    <w:rsid w:val="00CF422D"/>
    <w:rsid w:val="00CF45E7"/>
    <w:rsid w:val="00CF47AB"/>
    <w:rsid w:val="00CF6022"/>
    <w:rsid w:val="00CF6F75"/>
    <w:rsid w:val="00CF7C41"/>
    <w:rsid w:val="00D00F76"/>
    <w:rsid w:val="00D01613"/>
    <w:rsid w:val="00D017CC"/>
    <w:rsid w:val="00D01B79"/>
    <w:rsid w:val="00D01C5F"/>
    <w:rsid w:val="00D022FB"/>
    <w:rsid w:val="00D0248A"/>
    <w:rsid w:val="00D025D1"/>
    <w:rsid w:val="00D0265E"/>
    <w:rsid w:val="00D0297F"/>
    <w:rsid w:val="00D03016"/>
    <w:rsid w:val="00D0363B"/>
    <w:rsid w:val="00D03F9A"/>
    <w:rsid w:val="00D04136"/>
    <w:rsid w:val="00D044C6"/>
    <w:rsid w:val="00D05234"/>
    <w:rsid w:val="00D07661"/>
    <w:rsid w:val="00D076DD"/>
    <w:rsid w:val="00D07A6D"/>
    <w:rsid w:val="00D07FD2"/>
    <w:rsid w:val="00D101D6"/>
    <w:rsid w:val="00D1039D"/>
    <w:rsid w:val="00D10D08"/>
    <w:rsid w:val="00D113C2"/>
    <w:rsid w:val="00D12F43"/>
    <w:rsid w:val="00D13914"/>
    <w:rsid w:val="00D14735"/>
    <w:rsid w:val="00D14F18"/>
    <w:rsid w:val="00D15A2C"/>
    <w:rsid w:val="00D169AC"/>
    <w:rsid w:val="00D17B0C"/>
    <w:rsid w:val="00D207DB"/>
    <w:rsid w:val="00D20BF0"/>
    <w:rsid w:val="00D21EFA"/>
    <w:rsid w:val="00D227A5"/>
    <w:rsid w:val="00D22B5C"/>
    <w:rsid w:val="00D23322"/>
    <w:rsid w:val="00D23AA2"/>
    <w:rsid w:val="00D254FB"/>
    <w:rsid w:val="00D27607"/>
    <w:rsid w:val="00D31200"/>
    <w:rsid w:val="00D31281"/>
    <w:rsid w:val="00D32013"/>
    <w:rsid w:val="00D32838"/>
    <w:rsid w:val="00D33865"/>
    <w:rsid w:val="00D33C0E"/>
    <w:rsid w:val="00D342D1"/>
    <w:rsid w:val="00D34808"/>
    <w:rsid w:val="00D35C2B"/>
    <w:rsid w:val="00D35EAA"/>
    <w:rsid w:val="00D364B1"/>
    <w:rsid w:val="00D3750E"/>
    <w:rsid w:val="00D40415"/>
    <w:rsid w:val="00D40A02"/>
    <w:rsid w:val="00D411CF"/>
    <w:rsid w:val="00D4184B"/>
    <w:rsid w:val="00D42567"/>
    <w:rsid w:val="00D42699"/>
    <w:rsid w:val="00D42846"/>
    <w:rsid w:val="00D42DE8"/>
    <w:rsid w:val="00D43E21"/>
    <w:rsid w:val="00D453AC"/>
    <w:rsid w:val="00D45490"/>
    <w:rsid w:val="00D45550"/>
    <w:rsid w:val="00D46ECA"/>
    <w:rsid w:val="00D470E1"/>
    <w:rsid w:val="00D503FA"/>
    <w:rsid w:val="00D51FDA"/>
    <w:rsid w:val="00D53AE0"/>
    <w:rsid w:val="00D5435D"/>
    <w:rsid w:val="00D5453A"/>
    <w:rsid w:val="00D548E5"/>
    <w:rsid w:val="00D555C9"/>
    <w:rsid w:val="00D55AB5"/>
    <w:rsid w:val="00D56AF8"/>
    <w:rsid w:val="00D57B3F"/>
    <w:rsid w:val="00D57CAA"/>
    <w:rsid w:val="00D608E9"/>
    <w:rsid w:val="00D61841"/>
    <w:rsid w:val="00D61A77"/>
    <w:rsid w:val="00D63842"/>
    <w:rsid w:val="00D64451"/>
    <w:rsid w:val="00D64BCC"/>
    <w:rsid w:val="00D6711C"/>
    <w:rsid w:val="00D671FB"/>
    <w:rsid w:val="00D67B5A"/>
    <w:rsid w:val="00D70CD0"/>
    <w:rsid w:val="00D724EF"/>
    <w:rsid w:val="00D728A9"/>
    <w:rsid w:val="00D7343E"/>
    <w:rsid w:val="00D74B7E"/>
    <w:rsid w:val="00D75095"/>
    <w:rsid w:val="00D764E6"/>
    <w:rsid w:val="00D77E66"/>
    <w:rsid w:val="00D8040F"/>
    <w:rsid w:val="00D80A98"/>
    <w:rsid w:val="00D81B06"/>
    <w:rsid w:val="00D8210C"/>
    <w:rsid w:val="00D822E4"/>
    <w:rsid w:val="00D835F0"/>
    <w:rsid w:val="00D8652E"/>
    <w:rsid w:val="00D86856"/>
    <w:rsid w:val="00D87F26"/>
    <w:rsid w:val="00D915C9"/>
    <w:rsid w:val="00D922F9"/>
    <w:rsid w:val="00D926CB"/>
    <w:rsid w:val="00D92A91"/>
    <w:rsid w:val="00D92F9F"/>
    <w:rsid w:val="00D936EA"/>
    <w:rsid w:val="00D93ACA"/>
    <w:rsid w:val="00D94230"/>
    <w:rsid w:val="00D9507B"/>
    <w:rsid w:val="00D97DD8"/>
    <w:rsid w:val="00DA007A"/>
    <w:rsid w:val="00DA0F31"/>
    <w:rsid w:val="00DA14FB"/>
    <w:rsid w:val="00DA2033"/>
    <w:rsid w:val="00DA2262"/>
    <w:rsid w:val="00DA28B0"/>
    <w:rsid w:val="00DA3348"/>
    <w:rsid w:val="00DA3A16"/>
    <w:rsid w:val="00DA4FCF"/>
    <w:rsid w:val="00DA7281"/>
    <w:rsid w:val="00DB0880"/>
    <w:rsid w:val="00DB0D34"/>
    <w:rsid w:val="00DB16E0"/>
    <w:rsid w:val="00DB1E95"/>
    <w:rsid w:val="00DB2C75"/>
    <w:rsid w:val="00DB3722"/>
    <w:rsid w:val="00DB3EFD"/>
    <w:rsid w:val="00DB4154"/>
    <w:rsid w:val="00DB4238"/>
    <w:rsid w:val="00DB42C6"/>
    <w:rsid w:val="00DB42ED"/>
    <w:rsid w:val="00DB47B5"/>
    <w:rsid w:val="00DB57EF"/>
    <w:rsid w:val="00DB5AB6"/>
    <w:rsid w:val="00DB5FC0"/>
    <w:rsid w:val="00DB7563"/>
    <w:rsid w:val="00DB7973"/>
    <w:rsid w:val="00DC003F"/>
    <w:rsid w:val="00DC045D"/>
    <w:rsid w:val="00DC086D"/>
    <w:rsid w:val="00DC1EA9"/>
    <w:rsid w:val="00DC22C6"/>
    <w:rsid w:val="00DC2E80"/>
    <w:rsid w:val="00DC41F0"/>
    <w:rsid w:val="00DC4C34"/>
    <w:rsid w:val="00DC4C44"/>
    <w:rsid w:val="00DC60BE"/>
    <w:rsid w:val="00DC61A9"/>
    <w:rsid w:val="00DC6833"/>
    <w:rsid w:val="00DC6B56"/>
    <w:rsid w:val="00DC6D99"/>
    <w:rsid w:val="00DC7396"/>
    <w:rsid w:val="00DC7445"/>
    <w:rsid w:val="00DC77B3"/>
    <w:rsid w:val="00DC78D9"/>
    <w:rsid w:val="00DC7A8C"/>
    <w:rsid w:val="00DD0E0F"/>
    <w:rsid w:val="00DD106A"/>
    <w:rsid w:val="00DD132A"/>
    <w:rsid w:val="00DD18C8"/>
    <w:rsid w:val="00DD258C"/>
    <w:rsid w:val="00DD2F48"/>
    <w:rsid w:val="00DD3681"/>
    <w:rsid w:val="00DD3F84"/>
    <w:rsid w:val="00DD472A"/>
    <w:rsid w:val="00DD4753"/>
    <w:rsid w:val="00DD47CB"/>
    <w:rsid w:val="00DD48FC"/>
    <w:rsid w:val="00DD4A3B"/>
    <w:rsid w:val="00DD5ED1"/>
    <w:rsid w:val="00DD6347"/>
    <w:rsid w:val="00DD6534"/>
    <w:rsid w:val="00DD66B1"/>
    <w:rsid w:val="00DD7BD2"/>
    <w:rsid w:val="00DD7DEF"/>
    <w:rsid w:val="00DE0E7D"/>
    <w:rsid w:val="00DE15B9"/>
    <w:rsid w:val="00DE267A"/>
    <w:rsid w:val="00DE26BF"/>
    <w:rsid w:val="00DE3CF7"/>
    <w:rsid w:val="00DE430A"/>
    <w:rsid w:val="00DE4483"/>
    <w:rsid w:val="00DE484A"/>
    <w:rsid w:val="00DE5856"/>
    <w:rsid w:val="00DE6D1E"/>
    <w:rsid w:val="00DE746B"/>
    <w:rsid w:val="00DF06DE"/>
    <w:rsid w:val="00DF1A5B"/>
    <w:rsid w:val="00DF266C"/>
    <w:rsid w:val="00DF3A5F"/>
    <w:rsid w:val="00DF3B49"/>
    <w:rsid w:val="00DF44C6"/>
    <w:rsid w:val="00DF4CF0"/>
    <w:rsid w:val="00DF50FD"/>
    <w:rsid w:val="00DF6CE6"/>
    <w:rsid w:val="00DF701A"/>
    <w:rsid w:val="00E00836"/>
    <w:rsid w:val="00E008F8"/>
    <w:rsid w:val="00E00BD5"/>
    <w:rsid w:val="00E01699"/>
    <w:rsid w:val="00E01D21"/>
    <w:rsid w:val="00E0277F"/>
    <w:rsid w:val="00E02AA4"/>
    <w:rsid w:val="00E0392F"/>
    <w:rsid w:val="00E04588"/>
    <w:rsid w:val="00E045D5"/>
    <w:rsid w:val="00E04B97"/>
    <w:rsid w:val="00E058CC"/>
    <w:rsid w:val="00E05A6A"/>
    <w:rsid w:val="00E062D8"/>
    <w:rsid w:val="00E06613"/>
    <w:rsid w:val="00E07175"/>
    <w:rsid w:val="00E07446"/>
    <w:rsid w:val="00E07902"/>
    <w:rsid w:val="00E103A9"/>
    <w:rsid w:val="00E10744"/>
    <w:rsid w:val="00E108D0"/>
    <w:rsid w:val="00E125F2"/>
    <w:rsid w:val="00E127EE"/>
    <w:rsid w:val="00E128BB"/>
    <w:rsid w:val="00E133E8"/>
    <w:rsid w:val="00E135B3"/>
    <w:rsid w:val="00E1367E"/>
    <w:rsid w:val="00E14572"/>
    <w:rsid w:val="00E15595"/>
    <w:rsid w:val="00E15846"/>
    <w:rsid w:val="00E15DEB"/>
    <w:rsid w:val="00E16B6F"/>
    <w:rsid w:val="00E17A61"/>
    <w:rsid w:val="00E215D2"/>
    <w:rsid w:val="00E22736"/>
    <w:rsid w:val="00E23383"/>
    <w:rsid w:val="00E23C47"/>
    <w:rsid w:val="00E24193"/>
    <w:rsid w:val="00E256C2"/>
    <w:rsid w:val="00E25EB2"/>
    <w:rsid w:val="00E25F4E"/>
    <w:rsid w:val="00E27B0A"/>
    <w:rsid w:val="00E27D4D"/>
    <w:rsid w:val="00E303E6"/>
    <w:rsid w:val="00E31095"/>
    <w:rsid w:val="00E32BE8"/>
    <w:rsid w:val="00E33E07"/>
    <w:rsid w:val="00E34C20"/>
    <w:rsid w:val="00E34E90"/>
    <w:rsid w:val="00E3522D"/>
    <w:rsid w:val="00E3588A"/>
    <w:rsid w:val="00E35ABE"/>
    <w:rsid w:val="00E36023"/>
    <w:rsid w:val="00E36EFA"/>
    <w:rsid w:val="00E372D7"/>
    <w:rsid w:val="00E377FB"/>
    <w:rsid w:val="00E37F36"/>
    <w:rsid w:val="00E4005B"/>
    <w:rsid w:val="00E403C2"/>
    <w:rsid w:val="00E41345"/>
    <w:rsid w:val="00E41693"/>
    <w:rsid w:val="00E4230F"/>
    <w:rsid w:val="00E43012"/>
    <w:rsid w:val="00E4335C"/>
    <w:rsid w:val="00E436BE"/>
    <w:rsid w:val="00E4380A"/>
    <w:rsid w:val="00E445AF"/>
    <w:rsid w:val="00E44771"/>
    <w:rsid w:val="00E4632A"/>
    <w:rsid w:val="00E466FF"/>
    <w:rsid w:val="00E46FF2"/>
    <w:rsid w:val="00E504C7"/>
    <w:rsid w:val="00E50A38"/>
    <w:rsid w:val="00E50D0A"/>
    <w:rsid w:val="00E5164D"/>
    <w:rsid w:val="00E52599"/>
    <w:rsid w:val="00E52A83"/>
    <w:rsid w:val="00E53483"/>
    <w:rsid w:val="00E53574"/>
    <w:rsid w:val="00E53707"/>
    <w:rsid w:val="00E53715"/>
    <w:rsid w:val="00E53842"/>
    <w:rsid w:val="00E53864"/>
    <w:rsid w:val="00E53BFC"/>
    <w:rsid w:val="00E5680E"/>
    <w:rsid w:val="00E56AA4"/>
    <w:rsid w:val="00E606B2"/>
    <w:rsid w:val="00E60E4A"/>
    <w:rsid w:val="00E614F5"/>
    <w:rsid w:val="00E622B6"/>
    <w:rsid w:val="00E63AB7"/>
    <w:rsid w:val="00E64518"/>
    <w:rsid w:val="00E64C12"/>
    <w:rsid w:val="00E65F99"/>
    <w:rsid w:val="00E66270"/>
    <w:rsid w:val="00E66B5A"/>
    <w:rsid w:val="00E66B76"/>
    <w:rsid w:val="00E678CF"/>
    <w:rsid w:val="00E67996"/>
    <w:rsid w:val="00E7063C"/>
    <w:rsid w:val="00E70788"/>
    <w:rsid w:val="00E70AF6"/>
    <w:rsid w:val="00E71753"/>
    <w:rsid w:val="00E71DB7"/>
    <w:rsid w:val="00E721ED"/>
    <w:rsid w:val="00E726F8"/>
    <w:rsid w:val="00E74ABC"/>
    <w:rsid w:val="00E74DE7"/>
    <w:rsid w:val="00E7510C"/>
    <w:rsid w:val="00E7589F"/>
    <w:rsid w:val="00E76536"/>
    <w:rsid w:val="00E76F2C"/>
    <w:rsid w:val="00E7712B"/>
    <w:rsid w:val="00E77CC9"/>
    <w:rsid w:val="00E81B1E"/>
    <w:rsid w:val="00E81B78"/>
    <w:rsid w:val="00E82103"/>
    <w:rsid w:val="00E8331C"/>
    <w:rsid w:val="00E848A3"/>
    <w:rsid w:val="00E853F6"/>
    <w:rsid w:val="00E85C1F"/>
    <w:rsid w:val="00E85D9F"/>
    <w:rsid w:val="00E85F85"/>
    <w:rsid w:val="00E863F5"/>
    <w:rsid w:val="00E865D1"/>
    <w:rsid w:val="00E869A7"/>
    <w:rsid w:val="00E86BE6"/>
    <w:rsid w:val="00E87191"/>
    <w:rsid w:val="00E87B37"/>
    <w:rsid w:val="00E90369"/>
    <w:rsid w:val="00E9259C"/>
    <w:rsid w:val="00E94E33"/>
    <w:rsid w:val="00E9527B"/>
    <w:rsid w:val="00E952FE"/>
    <w:rsid w:val="00E95781"/>
    <w:rsid w:val="00E95C3C"/>
    <w:rsid w:val="00E961E4"/>
    <w:rsid w:val="00E96B53"/>
    <w:rsid w:val="00E96D41"/>
    <w:rsid w:val="00E96F07"/>
    <w:rsid w:val="00E97020"/>
    <w:rsid w:val="00E9754A"/>
    <w:rsid w:val="00E9767D"/>
    <w:rsid w:val="00E97B50"/>
    <w:rsid w:val="00EA0C73"/>
    <w:rsid w:val="00EA1000"/>
    <w:rsid w:val="00EA1912"/>
    <w:rsid w:val="00EA2621"/>
    <w:rsid w:val="00EA279E"/>
    <w:rsid w:val="00EA463B"/>
    <w:rsid w:val="00EA4ECC"/>
    <w:rsid w:val="00EA7004"/>
    <w:rsid w:val="00EB0A67"/>
    <w:rsid w:val="00EB15B9"/>
    <w:rsid w:val="00EB17BC"/>
    <w:rsid w:val="00EB28CB"/>
    <w:rsid w:val="00EB2D30"/>
    <w:rsid w:val="00EB2FBB"/>
    <w:rsid w:val="00EB31A1"/>
    <w:rsid w:val="00EB3CFE"/>
    <w:rsid w:val="00EB3D75"/>
    <w:rsid w:val="00EB44F0"/>
    <w:rsid w:val="00EB4CB0"/>
    <w:rsid w:val="00EB4CB1"/>
    <w:rsid w:val="00EB5036"/>
    <w:rsid w:val="00EB54E7"/>
    <w:rsid w:val="00EB5EC7"/>
    <w:rsid w:val="00EB668D"/>
    <w:rsid w:val="00EB6FAF"/>
    <w:rsid w:val="00EB7593"/>
    <w:rsid w:val="00EB77CF"/>
    <w:rsid w:val="00EC026F"/>
    <w:rsid w:val="00EC28A4"/>
    <w:rsid w:val="00EC2AAF"/>
    <w:rsid w:val="00EC2BE2"/>
    <w:rsid w:val="00EC3880"/>
    <w:rsid w:val="00EC42BD"/>
    <w:rsid w:val="00EC4F90"/>
    <w:rsid w:val="00EC56A8"/>
    <w:rsid w:val="00EC59E6"/>
    <w:rsid w:val="00EC6AD9"/>
    <w:rsid w:val="00EC7095"/>
    <w:rsid w:val="00EC7E30"/>
    <w:rsid w:val="00ED1927"/>
    <w:rsid w:val="00ED19B4"/>
    <w:rsid w:val="00ED1DCF"/>
    <w:rsid w:val="00ED1E5C"/>
    <w:rsid w:val="00ED24A1"/>
    <w:rsid w:val="00ED2CA6"/>
    <w:rsid w:val="00ED35C3"/>
    <w:rsid w:val="00ED4788"/>
    <w:rsid w:val="00ED676B"/>
    <w:rsid w:val="00ED6819"/>
    <w:rsid w:val="00ED6A7A"/>
    <w:rsid w:val="00ED6C39"/>
    <w:rsid w:val="00ED6C8A"/>
    <w:rsid w:val="00ED715A"/>
    <w:rsid w:val="00ED74BB"/>
    <w:rsid w:val="00ED7532"/>
    <w:rsid w:val="00EE0422"/>
    <w:rsid w:val="00EE0CD5"/>
    <w:rsid w:val="00EE27A5"/>
    <w:rsid w:val="00EE2D50"/>
    <w:rsid w:val="00EE2ECD"/>
    <w:rsid w:val="00EE36FE"/>
    <w:rsid w:val="00EE37B9"/>
    <w:rsid w:val="00EE40AA"/>
    <w:rsid w:val="00EE4808"/>
    <w:rsid w:val="00EE50AF"/>
    <w:rsid w:val="00EE57DA"/>
    <w:rsid w:val="00EE6780"/>
    <w:rsid w:val="00EE696F"/>
    <w:rsid w:val="00EE6CCA"/>
    <w:rsid w:val="00EF0954"/>
    <w:rsid w:val="00EF14B0"/>
    <w:rsid w:val="00EF2216"/>
    <w:rsid w:val="00EF2412"/>
    <w:rsid w:val="00EF2A1B"/>
    <w:rsid w:val="00EF2A45"/>
    <w:rsid w:val="00EF3046"/>
    <w:rsid w:val="00EF4384"/>
    <w:rsid w:val="00EF5348"/>
    <w:rsid w:val="00EF5527"/>
    <w:rsid w:val="00EF5C80"/>
    <w:rsid w:val="00EF63B0"/>
    <w:rsid w:val="00EF6B99"/>
    <w:rsid w:val="00EF6CC2"/>
    <w:rsid w:val="00EF79CB"/>
    <w:rsid w:val="00F003E1"/>
    <w:rsid w:val="00F0095A"/>
    <w:rsid w:val="00F0172D"/>
    <w:rsid w:val="00F020B4"/>
    <w:rsid w:val="00F025FC"/>
    <w:rsid w:val="00F0431F"/>
    <w:rsid w:val="00F04462"/>
    <w:rsid w:val="00F04D79"/>
    <w:rsid w:val="00F05C82"/>
    <w:rsid w:val="00F067BA"/>
    <w:rsid w:val="00F07077"/>
    <w:rsid w:val="00F076D2"/>
    <w:rsid w:val="00F076F6"/>
    <w:rsid w:val="00F10F0F"/>
    <w:rsid w:val="00F1274E"/>
    <w:rsid w:val="00F1276A"/>
    <w:rsid w:val="00F12B2B"/>
    <w:rsid w:val="00F13614"/>
    <w:rsid w:val="00F13848"/>
    <w:rsid w:val="00F138A2"/>
    <w:rsid w:val="00F138B5"/>
    <w:rsid w:val="00F1428E"/>
    <w:rsid w:val="00F142D7"/>
    <w:rsid w:val="00F14A85"/>
    <w:rsid w:val="00F14CE3"/>
    <w:rsid w:val="00F15B21"/>
    <w:rsid w:val="00F20057"/>
    <w:rsid w:val="00F2034E"/>
    <w:rsid w:val="00F20BC9"/>
    <w:rsid w:val="00F22540"/>
    <w:rsid w:val="00F22980"/>
    <w:rsid w:val="00F22B7C"/>
    <w:rsid w:val="00F22E4D"/>
    <w:rsid w:val="00F23307"/>
    <w:rsid w:val="00F23EB2"/>
    <w:rsid w:val="00F25C3C"/>
    <w:rsid w:val="00F26205"/>
    <w:rsid w:val="00F30F6D"/>
    <w:rsid w:val="00F32216"/>
    <w:rsid w:val="00F3441E"/>
    <w:rsid w:val="00F349C1"/>
    <w:rsid w:val="00F355E4"/>
    <w:rsid w:val="00F35D03"/>
    <w:rsid w:val="00F35E93"/>
    <w:rsid w:val="00F35EFE"/>
    <w:rsid w:val="00F3603B"/>
    <w:rsid w:val="00F36ED8"/>
    <w:rsid w:val="00F373A9"/>
    <w:rsid w:val="00F409DA"/>
    <w:rsid w:val="00F41090"/>
    <w:rsid w:val="00F43459"/>
    <w:rsid w:val="00F43771"/>
    <w:rsid w:val="00F43957"/>
    <w:rsid w:val="00F43CCA"/>
    <w:rsid w:val="00F443F7"/>
    <w:rsid w:val="00F44F5B"/>
    <w:rsid w:val="00F452F5"/>
    <w:rsid w:val="00F46163"/>
    <w:rsid w:val="00F46C22"/>
    <w:rsid w:val="00F46D41"/>
    <w:rsid w:val="00F46F7A"/>
    <w:rsid w:val="00F475D0"/>
    <w:rsid w:val="00F47F98"/>
    <w:rsid w:val="00F5240E"/>
    <w:rsid w:val="00F52E06"/>
    <w:rsid w:val="00F532AE"/>
    <w:rsid w:val="00F53358"/>
    <w:rsid w:val="00F53467"/>
    <w:rsid w:val="00F54411"/>
    <w:rsid w:val="00F54D3A"/>
    <w:rsid w:val="00F55481"/>
    <w:rsid w:val="00F557C9"/>
    <w:rsid w:val="00F565F4"/>
    <w:rsid w:val="00F5680A"/>
    <w:rsid w:val="00F568BC"/>
    <w:rsid w:val="00F56937"/>
    <w:rsid w:val="00F56CF3"/>
    <w:rsid w:val="00F56E5F"/>
    <w:rsid w:val="00F56E79"/>
    <w:rsid w:val="00F6112F"/>
    <w:rsid w:val="00F624E0"/>
    <w:rsid w:val="00F624EE"/>
    <w:rsid w:val="00F625CD"/>
    <w:rsid w:val="00F62EAF"/>
    <w:rsid w:val="00F64B5F"/>
    <w:rsid w:val="00F65382"/>
    <w:rsid w:val="00F65EE1"/>
    <w:rsid w:val="00F670B3"/>
    <w:rsid w:val="00F67AC7"/>
    <w:rsid w:val="00F67F3A"/>
    <w:rsid w:val="00F704B2"/>
    <w:rsid w:val="00F70563"/>
    <w:rsid w:val="00F71794"/>
    <w:rsid w:val="00F72C1A"/>
    <w:rsid w:val="00F73CBE"/>
    <w:rsid w:val="00F73CE7"/>
    <w:rsid w:val="00F745F1"/>
    <w:rsid w:val="00F75C81"/>
    <w:rsid w:val="00F75E17"/>
    <w:rsid w:val="00F7666B"/>
    <w:rsid w:val="00F77240"/>
    <w:rsid w:val="00F77B8D"/>
    <w:rsid w:val="00F81025"/>
    <w:rsid w:val="00F81356"/>
    <w:rsid w:val="00F813A2"/>
    <w:rsid w:val="00F821A0"/>
    <w:rsid w:val="00F8259B"/>
    <w:rsid w:val="00F82680"/>
    <w:rsid w:val="00F83174"/>
    <w:rsid w:val="00F83B74"/>
    <w:rsid w:val="00F84199"/>
    <w:rsid w:val="00F853CD"/>
    <w:rsid w:val="00F863F1"/>
    <w:rsid w:val="00F867FC"/>
    <w:rsid w:val="00F86F90"/>
    <w:rsid w:val="00F900E0"/>
    <w:rsid w:val="00F90759"/>
    <w:rsid w:val="00F90EA7"/>
    <w:rsid w:val="00F912D6"/>
    <w:rsid w:val="00F919BD"/>
    <w:rsid w:val="00F91E88"/>
    <w:rsid w:val="00F9341C"/>
    <w:rsid w:val="00F93CEF"/>
    <w:rsid w:val="00F94473"/>
    <w:rsid w:val="00F945A4"/>
    <w:rsid w:val="00F9473B"/>
    <w:rsid w:val="00F9683D"/>
    <w:rsid w:val="00FA00B9"/>
    <w:rsid w:val="00FA0291"/>
    <w:rsid w:val="00FA0672"/>
    <w:rsid w:val="00FA0A21"/>
    <w:rsid w:val="00FA1249"/>
    <w:rsid w:val="00FA251D"/>
    <w:rsid w:val="00FA2635"/>
    <w:rsid w:val="00FA29C5"/>
    <w:rsid w:val="00FA314A"/>
    <w:rsid w:val="00FA35ED"/>
    <w:rsid w:val="00FA45FF"/>
    <w:rsid w:val="00FA4761"/>
    <w:rsid w:val="00FA5702"/>
    <w:rsid w:val="00FA6425"/>
    <w:rsid w:val="00FB03BE"/>
    <w:rsid w:val="00FB1194"/>
    <w:rsid w:val="00FB187B"/>
    <w:rsid w:val="00FB2B7C"/>
    <w:rsid w:val="00FB32C6"/>
    <w:rsid w:val="00FB35DE"/>
    <w:rsid w:val="00FB3935"/>
    <w:rsid w:val="00FB3C55"/>
    <w:rsid w:val="00FB5103"/>
    <w:rsid w:val="00FB58B2"/>
    <w:rsid w:val="00FB5A22"/>
    <w:rsid w:val="00FB5DC2"/>
    <w:rsid w:val="00FB61D1"/>
    <w:rsid w:val="00FC1302"/>
    <w:rsid w:val="00FC251F"/>
    <w:rsid w:val="00FC2924"/>
    <w:rsid w:val="00FC34BB"/>
    <w:rsid w:val="00FC36A2"/>
    <w:rsid w:val="00FC43B9"/>
    <w:rsid w:val="00FC46B4"/>
    <w:rsid w:val="00FC49CE"/>
    <w:rsid w:val="00FC56AF"/>
    <w:rsid w:val="00FC5772"/>
    <w:rsid w:val="00FC653C"/>
    <w:rsid w:val="00FC757A"/>
    <w:rsid w:val="00FC79B8"/>
    <w:rsid w:val="00FC7BD3"/>
    <w:rsid w:val="00FC7EA4"/>
    <w:rsid w:val="00FC7F4F"/>
    <w:rsid w:val="00FD0591"/>
    <w:rsid w:val="00FD0EE4"/>
    <w:rsid w:val="00FD13CB"/>
    <w:rsid w:val="00FD1AB5"/>
    <w:rsid w:val="00FD2594"/>
    <w:rsid w:val="00FD3816"/>
    <w:rsid w:val="00FD3CEA"/>
    <w:rsid w:val="00FD47ED"/>
    <w:rsid w:val="00FD48E6"/>
    <w:rsid w:val="00FD5AEF"/>
    <w:rsid w:val="00FD5FA4"/>
    <w:rsid w:val="00FD6368"/>
    <w:rsid w:val="00FE1C50"/>
    <w:rsid w:val="00FE1D64"/>
    <w:rsid w:val="00FE1DB5"/>
    <w:rsid w:val="00FE2299"/>
    <w:rsid w:val="00FE27F6"/>
    <w:rsid w:val="00FE333C"/>
    <w:rsid w:val="00FE4231"/>
    <w:rsid w:val="00FE4FD5"/>
    <w:rsid w:val="00FE5188"/>
    <w:rsid w:val="00FE5E81"/>
    <w:rsid w:val="00FE7634"/>
    <w:rsid w:val="00FE7D20"/>
    <w:rsid w:val="00FF011F"/>
    <w:rsid w:val="00FF1A34"/>
    <w:rsid w:val="00FF2491"/>
    <w:rsid w:val="00FF25C9"/>
    <w:rsid w:val="00FF2B6C"/>
    <w:rsid w:val="00FF2D8B"/>
    <w:rsid w:val="00FF3899"/>
    <w:rsid w:val="00FF3F3D"/>
    <w:rsid w:val="00FF48FB"/>
    <w:rsid w:val="00FF7218"/>
    <w:rsid w:val="01154EDD"/>
    <w:rsid w:val="01253372"/>
    <w:rsid w:val="012D0A4A"/>
    <w:rsid w:val="013A6F40"/>
    <w:rsid w:val="014B0CDD"/>
    <w:rsid w:val="01A207A4"/>
    <w:rsid w:val="01AA0F8B"/>
    <w:rsid w:val="01FC5407"/>
    <w:rsid w:val="02290135"/>
    <w:rsid w:val="02377801"/>
    <w:rsid w:val="02C31E96"/>
    <w:rsid w:val="03426194"/>
    <w:rsid w:val="03F64D89"/>
    <w:rsid w:val="03F85C09"/>
    <w:rsid w:val="042B282F"/>
    <w:rsid w:val="045521C0"/>
    <w:rsid w:val="04612D27"/>
    <w:rsid w:val="04984DF2"/>
    <w:rsid w:val="0520422F"/>
    <w:rsid w:val="05726DA2"/>
    <w:rsid w:val="05947000"/>
    <w:rsid w:val="05E15441"/>
    <w:rsid w:val="05EA0E77"/>
    <w:rsid w:val="0611182C"/>
    <w:rsid w:val="065729A7"/>
    <w:rsid w:val="06645909"/>
    <w:rsid w:val="06857D48"/>
    <w:rsid w:val="06B331CE"/>
    <w:rsid w:val="06B917F9"/>
    <w:rsid w:val="06DE1FC1"/>
    <w:rsid w:val="071B5D5C"/>
    <w:rsid w:val="072E563C"/>
    <w:rsid w:val="07B42DBE"/>
    <w:rsid w:val="07CA320C"/>
    <w:rsid w:val="07CB0DF0"/>
    <w:rsid w:val="07D03DA8"/>
    <w:rsid w:val="07E50358"/>
    <w:rsid w:val="0845254C"/>
    <w:rsid w:val="084E621E"/>
    <w:rsid w:val="0877586D"/>
    <w:rsid w:val="08B95EB8"/>
    <w:rsid w:val="08BE2E56"/>
    <w:rsid w:val="08C977B7"/>
    <w:rsid w:val="08EA1745"/>
    <w:rsid w:val="08ED4A73"/>
    <w:rsid w:val="08F32294"/>
    <w:rsid w:val="090B3911"/>
    <w:rsid w:val="09203F5A"/>
    <w:rsid w:val="09212C5D"/>
    <w:rsid w:val="09400065"/>
    <w:rsid w:val="098E3BED"/>
    <w:rsid w:val="09931095"/>
    <w:rsid w:val="09A968E7"/>
    <w:rsid w:val="09D12E4F"/>
    <w:rsid w:val="0A11216D"/>
    <w:rsid w:val="0A474359"/>
    <w:rsid w:val="0AA529C6"/>
    <w:rsid w:val="0ACC0600"/>
    <w:rsid w:val="0AF773B6"/>
    <w:rsid w:val="0B224079"/>
    <w:rsid w:val="0B4B1C27"/>
    <w:rsid w:val="0B704654"/>
    <w:rsid w:val="0C4A1EDF"/>
    <w:rsid w:val="0C6F7B97"/>
    <w:rsid w:val="0C9A4134"/>
    <w:rsid w:val="0D08541F"/>
    <w:rsid w:val="0D1B148A"/>
    <w:rsid w:val="0D2670B8"/>
    <w:rsid w:val="0DA73361"/>
    <w:rsid w:val="0DE948AF"/>
    <w:rsid w:val="0DEA5B02"/>
    <w:rsid w:val="0E0A4804"/>
    <w:rsid w:val="0E216CB2"/>
    <w:rsid w:val="0E776C7D"/>
    <w:rsid w:val="0E7D34F0"/>
    <w:rsid w:val="0E834D90"/>
    <w:rsid w:val="0EAD3C8F"/>
    <w:rsid w:val="0EB23DC3"/>
    <w:rsid w:val="0EF10288"/>
    <w:rsid w:val="0F6810EA"/>
    <w:rsid w:val="0F9E3C8E"/>
    <w:rsid w:val="0FBD6E6C"/>
    <w:rsid w:val="0FD7240A"/>
    <w:rsid w:val="0FE96E01"/>
    <w:rsid w:val="0FEB4FB8"/>
    <w:rsid w:val="0FFA2953"/>
    <w:rsid w:val="100C1E2C"/>
    <w:rsid w:val="100E3BC7"/>
    <w:rsid w:val="1010377D"/>
    <w:rsid w:val="107B4D5C"/>
    <w:rsid w:val="108C0D04"/>
    <w:rsid w:val="109A692B"/>
    <w:rsid w:val="109E6365"/>
    <w:rsid w:val="112865AC"/>
    <w:rsid w:val="115F216C"/>
    <w:rsid w:val="11621A79"/>
    <w:rsid w:val="11737E03"/>
    <w:rsid w:val="120B2D79"/>
    <w:rsid w:val="125C2F25"/>
    <w:rsid w:val="12B41F74"/>
    <w:rsid w:val="12E666D9"/>
    <w:rsid w:val="12E7390C"/>
    <w:rsid w:val="130E43F8"/>
    <w:rsid w:val="13347445"/>
    <w:rsid w:val="1337209B"/>
    <w:rsid w:val="13675205"/>
    <w:rsid w:val="13C75C1C"/>
    <w:rsid w:val="13CE1647"/>
    <w:rsid w:val="13D7426D"/>
    <w:rsid w:val="14392F91"/>
    <w:rsid w:val="14676C8E"/>
    <w:rsid w:val="14952165"/>
    <w:rsid w:val="14B0734C"/>
    <w:rsid w:val="15AC59B8"/>
    <w:rsid w:val="15AF2BC4"/>
    <w:rsid w:val="15C25E6E"/>
    <w:rsid w:val="15E22589"/>
    <w:rsid w:val="163861F6"/>
    <w:rsid w:val="164B6F7F"/>
    <w:rsid w:val="16560ABA"/>
    <w:rsid w:val="16960ABA"/>
    <w:rsid w:val="16A2173F"/>
    <w:rsid w:val="16F03C89"/>
    <w:rsid w:val="16F11DF2"/>
    <w:rsid w:val="17067BF0"/>
    <w:rsid w:val="1707672B"/>
    <w:rsid w:val="174345F6"/>
    <w:rsid w:val="1777050B"/>
    <w:rsid w:val="17B2451A"/>
    <w:rsid w:val="17EA1AB6"/>
    <w:rsid w:val="18441ED8"/>
    <w:rsid w:val="18796AC0"/>
    <w:rsid w:val="1917583F"/>
    <w:rsid w:val="195D2BF7"/>
    <w:rsid w:val="198509FA"/>
    <w:rsid w:val="19F47F82"/>
    <w:rsid w:val="1A016158"/>
    <w:rsid w:val="1A0F29BA"/>
    <w:rsid w:val="1AA1479D"/>
    <w:rsid w:val="1ACA0F78"/>
    <w:rsid w:val="1AFC1DB7"/>
    <w:rsid w:val="1B4148C3"/>
    <w:rsid w:val="1B443CA9"/>
    <w:rsid w:val="1B51562E"/>
    <w:rsid w:val="1B8530D6"/>
    <w:rsid w:val="1BAD5FE6"/>
    <w:rsid w:val="1C6D1B26"/>
    <w:rsid w:val="1CDC687E"/>
    <w:rsid w:val="1CFA6362"/>
    <w:rsid w:val="1D186578"/>
    <w:rsid w:val="1D3E17D8"/>
    <w:rsid w:val="1DA76E27"/>
    <w:rsid w:val="1DEB35BE"/>
    <w:rsid w:val="1E253203"/>
    <w:rsid w:val="1E2A2877"/>
    <w:rsid w:val="1ED87D6B"/>
    <w:rsid w:val="1EFD053E"/>
    <w:rsid w:val="1F1B1527"/>
    <w:rsid w:val="1F3DA668"/>
    <w:rsid w:val="1F42748E"/>
    <w:rsid w:val="1F9049C8"/>
    <w:rsid w:val="1FBC064C"/>
    <w:rsid w:val="1FE9712E"/>
    <w:rsid w:val="200E2662"/>
    <w:rsid w:val="2029143F"/>
    <w:rsid w:val="20417A0B"/>
    <w:rsid w:val="20770385"/>
    <w:rsid w:val="208A4201"/>
    <w:rsid w:val="209C5AC0"/>
    <w:rsid w:val="20BF7684"/>
    <w:rsid w:val="213E7DFE"/>
    <w:rsid w:val="219E1A02"/>
    <w:rsid w:val="21C94A88"/>
    <w:rsid w:val="21D36013"/>
    <w:rsid w:val="22490941"/>
    <w:rsid w:val="22767A72"/>
    <w:rsid w:val="22A75E85"/>
    <w:rsid w:val="22E34988"/>
    <w:rsid w:val="22E77898"/>
    <w:rsid w:val="22ED0263"/>
    <w:rsid w:val="23104767"/>
    <w:rsid w:val="235A4184"/>
    <w:rsid w:val="2393500F"/>
    <w:rsid w:val="23B128E6"/>
    <w:rsid w:val="241A533A"/>
    <w:rsid w:val="242D4168"/>
    <w:rsid w:val="24332BBD"/>
    <w:rsid w:val="246A441B"/>
    <w:rsid w:val="246E4881"/>
    <w:rsid w:val="24791413"/>
    <w:rsid w:val="248A7E55"/>
    <w:rsid w:val="24A361D8"/>
    <w:rsid w:val="25204187"/>
    <w:rsid w:val="253324A1"/>
    <w:rsid w:val="25424C7B"/>
    <w:rsid w:val="25483A68"/>
    <w:rsid w:val="254B563A"/>
    <w:rsid w:val="256D2863"/>
    <w:rsid w:val="259D5310"/>
    <w:rsid w:val="25A62424"/>
    <w:rsid w:val="25B9034F"/>
    <w:rsid w:val="25E81C9A"/>
    <w:rsid w:val="2602441B"/>
    <w:rsid w:val="265A79A4"/>
    <w:rsid w:val="26F63F93"/>
    <w:rsid w:val="271A1952"/>
    <w:rsid w:val="273D047F"/>
    <w:rsid w:val="274B743A"/>
    <w:rsid w:val="279B65E0"/>
    <w:rsid w:val="27B8643F"/>
    <w:rsid w:val="27D46462"/>
    <w:rsid w:val="28097CC4"/>
    <w:rsid w:val="281D3EA0"/>
    <w:rsid w:val="2863617E"/>
    <w:rsid w:val="287A47A7"/>
    <w:rsid w:val="28E74B46"/>
    <w:rsid w:val="29155D83"/>
    <w:rsid w:val="2960467D"/>
    <w:rsid w:val="29986223"/>
    <w:rsid w:val="29A44ECD"/>
    <w:rsid w:val="29C0517F"/>
    <w:rsid w:val="29F073C2"/>
    <w:rsid w:val="2A55340C"/>
    <w:rsid w:val="2AA63D8F"/>
    <w:rsid w:val="2AAA5714"/>
    <w:rsid w:val="2AAE2B7D"/>
    <w:rsid w:val="2AD22E02"/>
    <w:rsid w:val="2AD55912"/>
    <w:rsid w:val="2B0D2AF6"/>
    <w:rsid w:val="2B4073AE"/>
    <w:rsid w:val="2B562C8F"/>
    <w:rsid w:val="2B8515C8"/>
    <w:rsid w:val="2B9E76FA"/>
    <w:rsid w:val="2BE060E9"/>
    <w:rsid w:val="2BEC5E38"/>
    <w:rsid w:val="2C1C5B41"/>
    <w:rsid w:val="2CB13B76"/>
    <w:rsid w:val="2CFE48F4"/>
    <w:rsid w:val="2D0B7011"/>
    <w:rsid w:val="2D317A84"/>
    <w:rsid w:val="2DD20228"/>
    <w:rsid w:val="2DED6716"/>
    <w:rsid w:val="2EAA4FDA"/>
    <w:rsid w:val="2EB711FE"/>
    <w:rsid w:val="2EBF0EAE"/>
    <w:rsid w:val="2F2575EE"/>
    <w:rsid w:val="2F3A102C"/>
    <w:rsid w:val="2F3D6D97"/>
    <w:rsid w:val="2F54560B"/>
    <w:rsid w:val="3005674D"/>
    <w:rsid w:val="3007645A"/>
    <w:rsid w:val="300E51F5"/>
    <w:rsid w:val="3014365F"/>
    <w:rsid w:val="30A633AE"/>
    <w:rsid w:val="30E70012"/>
    <w:rsid w:val="30E97669"/>
    <w:rsid w:val="30FF5973"/>
    <w:rsid w:val="30FF6E3E"/>
    <w:rsid w:val="316F5DC0"/>
    <w:rsid w:val="31723B02"/>
    <w:rsid w:val="318402A8"/>
    <w:rsid w:val="318D2AEF"/>
    <w:rsid w:val="31BD65BD"/>
    <w:rsid w:val="31CE4E56"/>
    <w:rsid w:val="31D879AA"/>
    <w:rsid w:val="32116E77"/>
    <w:rsid w:val="32173935"/>
    <w:rsid w:val="32476879"/>
    <w:rsid w:val="32764F2C"/>
    <w:rsid w:val="32951856"/>
    <w:rsid w:val="32C4213C"/>
    <w:rsid w:val="330304B7"/>
    <w:rsid w:val="33440421"/>
    <w:rsid w:val="33B1681F"/>
    <w:rsid w:val="33B87664"/>
    <w:rsid w:val="33D068BE"/>
    <w:rsid w:val="34190265"/>
    <w:rsid w:val="34663144"/>
    <w:rsid w:val="34666D76"/>
    <w:rsid w:val="346D4EF8"/>
    <w:rsid w:val="34A7178A"/>
    <w:rsid w:val="34C25A19"/>
    <w:rsid w:val="34C5219B"/>
    <w:rsid w:val="355157DD"/>
    <w:rsid w:val="356674DA"/>
    <w:rsid w:val="3584619D"/>
    <w:rsid w:val="358F39CD"/>
    <w:rsid w:val="35B04BF9"/>
    <w:rsid w:val="35F66AB0"/>
    <w:rsid w:val="36213ABD"/>
    <w:rsid w:val="364458E6"/>
    <w:rsid w:val="36545584"/>
    <w:rsid w:val="36607C97"/>
    <w:rsid w:val="36643F43"/>
    <w:rsid w:val="368544B5"/>
    <w:rsid w:val="36916FED"/>
    <w:rsid w:val="36CE4D44"/>
    <w:rsid w:val="36D97FD0"/>
    <w:rsid w:val="36DF3F4D"/>
    <w:rsid w:val="36EC2F3E"/>
    <w:rsid w:val="37103BA1"/>
    <w:rsid w:val="371856C0"/>
    <w:rsid w:val="37AE5953"/>
    <w:rsid w:val="37B87D95"/>
    <w:rsid w:val="37BC4A0B"/>
    <w:rsid w:val="38774EEB"/>
    <w:rsid w:val="38A01195"/>
    <w:rsid w:val="38BF122F"/>
    <w:rsid w:val="38EF1AE2"/>
    <w:rsid w:val="393E72BA"/>
    <w:rsid w:val="39A763C5"/>
    <w:rsid w:val="39B96E23"/>
    <w:rsid w:val="39D912C5"/>
    <w:rsid w:val="39DA0497"/>
    <w:rsid w:val="3A2B6D34"/>
    <w:rsid w:val="3A9C3263"/>
    <w:rsid w:val="3AAA7E69"/>
    <w:rsid w:val="3AB73661"/>
    <w:rsid w:val="3AFF3845"/>
    <w:rsid w:val="3B295DFD"/>
    <w:rsid w:val="3B6E0135"/>
    <w:rsid w:val="3B716BD9"/>
    <w:rsid w:val="3B7F12F6"/>
    <w:rsid w:val="3B9D55CE"/>
    <w:rsid w:val="3BA63EE4"/>
    <w:rsid w:val="3BC46D08"/>
    <w:rsid w:val="3C747AAC"/>
    <w:rsid w:val="3C8A7F52"/>
    <w:rsid w:val="3C8E1189"/>
    <w:rsid w:val="3D073351"/>
    <w:rsid w:val="3D1617E6"/>
    <w:rsid w:val="3D2709C7"/>
    <w:rsid w:val="3D8A3387"/>
    <w:rsid w:val="3E0071E5"/>
    <w:rsid w:val="3E0C7BA6"/>
    <w:rsid w:val="3E6E5D0C"/>
    <w:rsid w:val="3E8A4CD2"/>
    <w:rsid w:val="3E8B2E60"/>
    <w:rsid w:val="3EB81BB6"/>
    <w:rsid w:val="3EC45E89"/>
    <w:rsid w:val="3ECE1791"/>
    <w:rsid w:val="3F0A396A"/>
    <w:rsid w:val="3F3E0E1A"/>
    <w:rsid w:val="3F7204B7"/>
    <w:rsid w:val="3FBA032E"/>
    <w:rsid w:val="3FFF2586"/>
    <w:rsid w:val="402204A1"/>
    <w:rsid w:val="40384169"/>
    <w:rsid w:val="40700133"/>
    <w:rsid w:val="40C65469"/>
    <w:rsid w:val="411D559A"/>
    <w:rsid w:val="418E2AD2"/>
    <w:rsid w:val="41BA22E4"/>
    <w:rsid w:val="41CF2337"/>
    <w:rsid w:val="42091919"/>
    <w:rsid w:val="422619BB"/>
    <w:rsid w:val="42FA74B4"/>
    <w:rsid w:val="430037FA"/>
    <w:rsid w:val="4352109E"/>
    <w:rsid w:val="435B634B"/>
    <w:rsid w:val="439E57C9"/>
    <w:rsid w:val="43D10F9F"/>
    <w:rsid w:val="43DD4725"/>
    <w:rsid w:val="43E9603D"/>
    <w:rsid w:val="44A26B71"/>
    <w:rsid w:val="44AF7256"/>
    <w:rsid w:val="451E3DA7"/>
    <w:rsid w:val="45390BAE"/>
    <w:rsid w:val="45740507"/>
    <w:rsid w:val="45785B3E"/>
    <w:rsid w:val="457F2918"/>
    <w:rsid w:val="458C4D3B"/>
    <w:rsid w:val="45CB6628"/>
    <w:rsid w:val="45EF0E26"/>
    <w:rsid w:val="46743A9F"/>
    <w:rsid w:val="468A0B4E"/>
    <w:rsid w:val="470E352E"/>
    <w:rsid w:val="471A1B80"/>
    <w:rsid w:val="47470C6B"/>
    <w:rsid w:val="474A6C5C"/>
    <w:rsid w:val="479E48B1"/>
    <w:rsid w:val="480F68C5"/>
    <w:rsid w:val="48AA417F"/>
    <w:rsid w:val="48B63E7D"/>
    <w:rsid w:val="48B819A3"/>
    <w:rsid w:val="49433955"/>
    <w:rsid w:val="49444274"/>
    <w:rsid w:val="49460100"/>
    <w:rsid w:val="49492F43"/>
    <w:rsid w:val="495964C5"/>
    <w:rsid w:val="49DC1927"/>
    <w:rsid w:val="4A7C1AFB"/>
    <w:rsid w:val="4ACA3C0F"/>
    <w:rsid w:val="4B235350"/>
    <w:rsid w:val="4B315A3D"/>
    <w:rsid w:val="4B3A2DD3"/>
    <w:rsid w:val="4B5160DF"/>
    <w:rsid w:val="4BB54EA6"/>
    <w:rsid w:val="4C3744FA"/>
    <w:rsid w:val="4C8B3112"/>
    <w:rsid w:val="4CB75F07"/>
    <w:rsid w:val="4CFB3EF3"/>
    <w:rsid w:val="4D2770F7"/>
    <w:rsid w:val="4D4759EB"/>
    <w:rsid w:val="4D532214"/>
    <w:rsid w:val="4D5834BB"/>
    <w:rsid w:val="4DA16EA9"/>
    <w:rsid w:val="4E2D1DF5"/>
    <w:rsid w:val="4E345F70"/>
    <w:rsid w:val="4E3C528E"/>
    <w:rsid w:val="4E3E0B9C"/>
    <w:rsid w:val="4E6B74B7"/>
    <w:rsid w:val="4E7E5FEB"/>
    <w:rsid w:val="4E893F49"/>
    <w:rsid w:val="4EA304A9"/>
    <w:rsid w:val="4EBD30D8"/>
    <w:rsid w:val="4ED24FF6"/>
    <w:rsid w:val="4F491728"/>
    <w:rsid w:val="4F7D7681"/>
    <w:rsid w:val="4F8545A9"/>
    <w:rsid w:val="4FD03A76"/>
    <w:rsid w:val="508C6C00"/>
    <w:rsid w:val="50F83156"/>
    <w:rsid w:val="511B6771"/>
    <w:rsid w:val="51470C1D"/>
    <w:rsid w:val="514C11F4"/>
    <w:rsid w:val="51BF3DA2"/>
    <w:rsid w:val="51E35829"/>
    <w:rsid w:val="52297A2E"/>
    <w:rsid w:val="523C1AB3"/>
    <w:rsid w:val="52426781"/>
    <w:rsid w:val="52596DE3"/>
    <w:rsid w:val="52711475"/>
    <w:rsid w:val="52C378C2"/>
    <w:rsid w:val="536966BB"/>
    <w:rsid w:val="540B32CF"/>
    <w:rsid w:val="541008E5"/>
    <w:rsid w:val="544432F1"/>
    <w:rsid w:val="554A7E27"/>
    <w:rsid w:val="556534F9"/>
    <w:rsid w:val="559A17F5"/>
    <w:rsid w:val="55BF29AB"/>
    <w:rsid w:val="56165E3E"/>
    <w:rsid w:val="561769D4"/>
    <w:rsid w:val="56204D1B"/>
    <w:rsid w:val="56870A65"/>
    <w:rsid w:val="56C96D55"/>
    <w:rsid w:val="56E04F4A"/>
    <w:rsid w:val="56FA67C9"/>
    <w:rsid w:val="5705494D"/>
    <w:rsid w:val="5732128B"/>
    <w:rsid w:val="57415259"/>
    <w:rsid w:val="574839E0"/>
    <w:rsid w:val="57510DF8"/>
    <w:rsid w:val="5859658F"/>
    <w:rsid w:val="587F6039"/>
    <w:rsid w:val="588219BB"/>
    <w:rsid w:val="58BE314A"/>
    <w:rsid w:val="5960111F"/>
    <w:rsid w:val="596F54AE"/>
    <w:rsid w:val="59A2355B"/>
    <w:rsid w:val="59AA0DC3"/>
    <w:rsid w:val="59C14E48"/>
    <w:rsid w:val="5A050155"/>
    <w:rsid w:val="5A4E24F9"/>
    <w:rsid w:val="5A661FDC"/>
    <w:rsid w:val="5AAA7479"/>
    <w:rsid w:val="5AC73CC7"/>
    <w:rsid w:val="5B05384B"/>
    <w:rsid w:val="5B053ABB"/>
    <w:rsid w:val="5BE77208"/>
    <w:rsid w:val="5BE9550E"/>
    <w:rsid w:val="5BF70DC8"/>
    <w:rsid w:val="5BF7EC88"/>
    <w:rsid w:val="5C344567"/>
    <w:rsid w:val="5C9F3736"/>
    <w:rsid w:val="5CAF3662"/>
    <w:rsid w:val="5CBD044E"/>
    <w:rsid w:val="5CE40B61"/>
    <w:rsid w:val="5CE50174"/>
    <w:rsid w:val="5D447851"/>
    <w:rsid w:val="5D656145"/>
    <w:rsid w:val="5D7B4C7F"/>
    <w:rsid w:val="5D973E25"/>
    <w:rsid w:val="5DDA6BAB"/>
    <w:rsid w:val="5E053485"/>
    <w:rsid w:val="5E207B84"/>
    <w:rsid w:val="5E584C50"/>
    <w:rsid w:val="5EB64D45"/>
    <w:rsid w:val="5EEC4B16"/>
    <w:rsid w:val="5F391660"/>
    <w:rsid w:val="5F4B4425"/>
    <w:rsid w:val="5F675C0D"/>
    <w:rsid w:val="5F6945D9"/>
    <w:rsid w:val="5F9B167E"/>
    <w:rsid w:val="5FBBA1A8"/>
    <w:rsid w:val="5FFA19CD"/>
    <w:rsid w:val="600F04AC"/>
    <w:rsid w:val="600F4147"/>
    <w:rsid w:val="601F21A0"/>
    <w:rsid w:val="60565C5F"/>
    <w:rsid w:val="6057093E"/>
    <w:rsid w:val="60C05441"/>
    <w:rsid w:val="60D45E20"/>
    <w:rsid w:val="612D08CE"/>
    <w:rsid w:val="61C62A6B"/>
    <w:rsid w:val="62116FB3"/>
    <w:rsid w:val="621243C2"/>
    <w:rsid w:val="62436329"/>
    <w:rsid w:val="62497ECE"/>
    <w:rsid w:val="62B42AED"/>
    <w:rsid w:val="62C54F69"/>
    <w:rsid w:val="62D91A46"/>
    <w:rsid w:val="633E06D4"/>
    <w:rsid w:val="63704A07"/>
    <w:rsid w:val="63CB5407"/>
    <w:rsid w:val="63F91396"/>
    <w:rsid w:val="642A0B34"/>
    <w:rsid w:val="643678A2"/>
    <w:rsid w:val="648A57E3"/>
    <w:rsid w:val="64E42046"/>
    <w:rsid w:val="65935A74"/>
    <w:rsid w:val="65AB46BD"/>
    <w:rsid w:val="65CA7DBD"/>
    <w:rsid w:val="65EE2A50"/>
    <w:rsid w:val="66002298"/>
    <w:rsid w:val="66A1752C"/>
    <w:rsid w:val="66BC8C78"/>
    <w:rsid w:val="66CE0BC7"/>
    <w:rsid w:val="66F71955"/>
    <w:rsid w:val="676A4358"/>
    <w:rsid w:val="67DC1F7A"/>
    <w:rsid w:val="68280053"/>
    <w:rsid w:val="68687634"/>
    <w:rsid w:val="688A31A0"/>
    <w:rsid w:val="68F83342"/>
    <w:rsid w:val="697A3860"/>
    <w:rsid w:val="69CB6B2D"/>
    <w:rsid w:val="69F61ED3"/>
    <w:rsid w:val="69FA19C4"/>
    <w:rsid w:val="6A32764B"/>
    <w:rsid w:val="6A701C86"/>
    <w:rsid w:val="6AA913D6"/>
    <w:rsid w:val="6AD77F57"/>
    <w:rsid w:val="6AF92B1A"/>
    <w:rsid w:val="6B1348BC"/>
    <w:rsid w:val="6B9F280F"/>
    <w:rsid w:val="6BA96B98"/>
    <w:rsid w:val="6BE56829"/>
    <w:rsid w:val="6C085B47"/>
    <w:rsid w:val="6C501013"/>
    <w:rsid w:val="6C663270"/>
    <w:rsid w:val="6C9E6F7E"/>
    <w:rsid w:val="6CC16035"/>
    <w:rsid w:val="6D051C7B"/>
    <w:rsid w:val="6D66794D"/>
    <w:rsid w:val="6D967F60"/>
    <w:rsid w:val="6DA972F1"/>
    <w:rsid w:val="6DAF561B"/>
    <w:rsid w:val="6DEF44FA"/>
    <w:rsid w:val="6E5652C3"/>
    <w:rsid w:val="6F2474E3"/>
    <w:rsid w:val="6F2C3609"/>
    <w:rsid w:val="6F7227E6"/>
    <w:rsid w:val="6F7F4719"/>
    <w:rsid w:val="6F90257D"/>
    <w:rsid w:val="6FC35A17"/>
    <w:rsid w:val="6FFEEDF7"/>
    <w:rsid w:val="702008C2"/>
    <w:rsid w:val="702B40F9"/>
    <w:rsid w:val="708853E0"/>
    <w:rsid w:val="708A15C7"/>
    <w:rsid w:val="70CC469E"/>
    <w:rsid w:val="71257C6E"/>
    <w:rsid w:val="712C7868"/>
    <w:rsid w:val="72931E14"/>
    <w:rsid w:val="72A60A7D"/>
    <w:rsid w:val="72CBD257"/>
    <w:rsid w:val="72DD6326"/>
    <w:rsid w:val="72FA1D73"/>
    <w:rsid w:val="733B4CEA"/>
    <w:rsid w:val="733E21D0"/>
    <w:rsid w:val="736E346A"/>
    <w:rsid w:val="740404AF"/>
    <w:rsid w:val="74114A1A"/>
    <w:rsid w:val="74230841"/>
    <w:rsid w:val="74B957A1"/>
    <w:rsid w:val="74F87C6B"/>
    <w:rsid w:val="755705D0"/>
    <w:rsid w:val="75903C20"/>
    <w:rsid w:val="75B5750B"/>
    <w:rsid w:val="75BC3B6F"/>
    <w:rsid w:val="75C4732A"/>
    <w:rsid w:val="75D62912"/>
    <w:rsid w:val="75E63744"/>
    <w:rsid w:val="76876CD5"/>
    <w:rsid w:val="76C53A1F"/>
    <w:rsid w:val="76E246D4"/>
    <w:rsid w:val="76EEC792"/>
    <w:rsid w:val="770B032D"/>
    <w:rsid w:val="77C81353"/>
    <w:rsid w:val="77EE3187"/>
    <w:rsid w:val="77F5836B"/>
    <w:rsid w:val="77FA8F08"/>
    <w:rsid w:val="77FB9612"/>
    <w:rsid w:val="7804161A"/>
    <w:rsid w:val="781400F4"/>
    <w:rsid w:val="78496C68"/>
    <w:rsid w:val="786F5385"/>
    <w:rsid w:val="789F50CF"/>
    <w:rsid w:val="78ED3272"/>
    <w:rsid w:val="79692029"/>
    <w:rsid w:val="79982FA7"/>
    <w:rsid w:val="799D3B64"/>
    <w:rsid w:val="79A2452A"/>
    <w:rsid w:val="79D24905"/>
    <w:rsid w:val="79D33FDF"/>
    <w:rsid w:val="79D44FB9"/>
    <w:rsid w:val="7A2F0777"/>
    <w:rsid w:val="7A5114C1"/>
    <w:rsid w:val="7A5F5873"/>
    <w:rsid w:val="7A872A41"/>
    <w:rsid w:val="7AA31C03"/>
    <w:rsid w:val="7B076B8F"/>
    <w:rsid w:val="7B403C31"/>
    <w:rsid w:val="7BCFD23B"/>
    <w:rsid w:val="7BD82090"/>
    <w:rsid w:val="7C260223"/>
    <w:rsid w:val="7C272826"/>
    <w:rsid w:val="7C3F1254"/>
    <w:rsid w:val="7C505FDC"/>
    <w:rsid w:val="7CAA4421"/>
    <w:rsid w:val="7CD7613F"/>
    <w:rsid w:val="7CEC6480"/>
    <w:rsid w:val="7D34197E"/>
    <w:rsid w:val="7DBB54B6"/>
    <w:rsid w:val="7DE66B44"/>
    <w:rsid w:val="7F7A4508"/>
    <w:rsid w:val="7FAF37CB"/>
    <w:rsid w:val="7FB56E1B"/>
    <w:rsid w:val="7FEB15AB"/>
    <w:rsid w:val="7FFF35B4"/>
    <w:rsid w:val="7FFF5B2E"/>
    <w:rsid w:val="9FF79F63"/>
    <w:rsid w:val="B77F2A4B"/>
    <w:rsid w:val="BF75A23F"/>
    <w:rsid w:val="BFFF8555"/>
    <w:rsid w:val="DFB76936"/>
    <w:rsid w:val="DFE7A066"/>
    <w:rsid w:val="E5DF0CE1"/>
    <w:rsid w:val="E6FF9C87"/>
    <w:rsid w:val="E7EF2A17"/>
    <w:rsid w:val="EA65E403"/>
    <w:rsid w:val="EFF6E8DC"/>
    <w:rsid w:val="F3EF8CC0"/>
    <w:rsid w:val="F6FFDA01"/>
    <w:rsid w:val="F7CB78A7"/>
    <w:rsid w:val="FABD746A"/>
    <w:rsid w:val="FAEF9E4D"/>
    <w:rsid w:val="FAFA6210"/>
    <w:rsid w:val="FBEE4BE6"/>
    <w:rsid w:val="FC462D19"/>
    <w:rsid w:val="FDFF01A7"/>
    <w:rsid w:val="FF2B4B0B"/>
    <w:rsid w:val="FFF7E96B"/>
    <w:rsid w:val="FFFBC151"/>
    <w:rsid w:val="FFFFCD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3"/>
    <w:next w:val="3"/>
    <w:link w:val="31"/>
    <w:qFormat/>
    <w:uiPriority w:val="9"/>
    <w:pPr>
      <w:keepNext/>
      <w:keepLines/>
      <w:adjustRightInd w:val="0"/>
      <w:snapToGrid w:val="0"/>
      <w:spacing w:before="360" w:after="360"/>
    </w:pPr>
    <w:rPr>
      <w:rFonts w:ascii="Times New Roman" w:hAnsi="Times New Roman"/>
      <w:b w:val="0"/>
      <w:bCs/>
      <w:kern w:val="44"/>
      <w:sz w:val="28"/>
      <w:szCs w:val="44"/>
    </w:rPr>
  </w:style>
  <w:style w:type="paragraph" w:styleId="4">
    <w:name w:val="heading 2"/>
    <w:basedOn w:val="1"/>
    <w:next w:val="1"/>
    <w:link w:val="32"/>
    <w:qFormat/>
    <w:uiPriority w:val="0"/>
    <w:pPr>
      <w:keepNext/>
      <w:keepLines/>
      <w:spacing w:before="240" w:after="240"/>
      <w:jc w:val="center"/>
      <w:outlineLvl w:val="1"/>
    </w:pPr>
    <w:rPr>
      <w:rFonts w:eastAsia="黑体"/>
      <w:bCs/>
      <w:szCs w:val="32"/>
    </w:rPr>
  </w:style>
  <w:style w:type="paragraph" w:styleId="5">
    <w:name w:val="heading 3"/>
    <w:basedOn w:val="1"/>
    <w:next w:val="1"/>
    <w:link w:val="33"/>
    <w:qFormat/>
    <w:uiPriority w:val="0"/>
    <w:pPr>
      <w:keepNext/>
      <w:keepLines/>
      <w:spacing w:before="240" w:after="240"/>
      <w:jc w:val="center"/>
      <w:outlineLvl w:val="2"/>
    </w:pPr>
    <w:rPr>
      <w:rFonts w:eastAsia="黑体"/>
      <w:bCs/>
      <w:szCs w:val="32"/>
    </w:rPr>
  </w:style>
  <w:style w:type="paragraph" w:styleId="6">
    <w:name w:val="heading 4"/>
    <w:basedOn w:val="1"/>
    <w:next w:val="1"/>
    <w:link w:val="34"/>
    <w:qFormat/>
    <w:uiPriority w:val="9"/>
    <w:pPr>
      <w:keepNext/>
      <w:keepLines/>
      <w:spacing w:before="240" w:after="240"/>
      <w:jc w:val="center"/>
      <w:outlineLvl w:val="3"/>
    </w:pPr>
    <w:rPr>
      <w:rFonts w:eastAsia="黑体"/>
      <w:bCs/>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3">
    <w:name w:val="Title"/>
    <w:basedOn w:val="1"/>
    <w:qFormat/>
    <w:uiPriority w:val="10"/>
    <w:pPr>
      <w:spacing w:before="240" w:after="60"/>
      <w:jc w:val="center"/>
      <w:outlineLvl w:val="0"/>
    </w:pPr>
    <w:rPr>
      <w:rFonts w:ascii="Arial" w:hAnsi="Arial"/>
      <w:b/>
      <w:sz w:val="32"/>
    </w:rPr>
  </w:style>
  <w:style w:type="paragraph" w:styleId="7">
    <w:name w:val="toc 7"/>
    <w:basedOn w:val="1"/>
    <w:next w:val="1"/>
    <w:unhideWhenUsed/>
    <w:qFormat/>
    <w:uiPriority w:val="39"/>
    <w:pPr>
      <w:ind w:left="2520" w:leftChars="1200"/>
    </w:pPr>
    <w:rPr>
      <w:rFonts w:ascii="等线" w:hAnsi="等线" w:eastAsia="等线"/>
    </w:rPr>
  </w:style>
  <w:style w:type="paragraph" w:styleId="8">
    <w:name w:val="annotation text"/>
    <w:basedOn w:val="1"/>
    <w:link w:val="35"/>
    <w:unhideWhenUsed/>
    <w:qFormat/>
    <w:uiPriority w:val="99"/>
    <w:pPr>
      <w:jc w:val="left"/>
    </w:pPr>
  </w:style>
  <w:style w:type="paragraph" w:styleId="9">
    <w:name w:val="Body Text"/>
    <w:basedOn w:val="1"/>
    <w:link w:val="36"/>
    <w:qFormat/>
    <w:uiPriority w:val="1"/>
    <w:pPr>
      <w:ind w:left="110"/>
      <w:jc w:val="left"/>
    </w:pPr>
    <w:rPr>
      <w:rFonts w:ascii="宋体" w:hAnsi="宋体"/>
      <w:color w:val="000000"/>
      <w:kern w:val="0"/>
      <w:sz w:val="20"/>
      <w:szCs w:val="20"/>
      <w:lang w:eastAsia="en-US"/>
    </w:rPr>
  </w:style>
  <w:style w:type="paragraph" w:styleId="10">
    <w:name w:val="toc 5"/>
    <w:basedOn w:val="1"/>
    <w:next w:val="1"/>
    <w:unhideWhenUsed/>
    <w:qFormat/>
    <w:uiPriority w:val="39"/>
    <w:pPr>
      <w:ind w:left="1680" w:leftChars="800"/>
    </w:pPr>
    <w:rPr>
      <w:rFonts w:ascii="等线" w:hAnsi="等线" w:eastAsia="等线"/>
    </w:rPr>
  </w:style>
  <w:style w:type="paragraph" w:styleId="11">
    <w:name w:val="toc 3"/>
    <w:basedOn w:val="1"/>
    <w:next w:val="1"/>
    <w:unhideWhenUsed/>
    <w:qFormat/>
    <w:uiPriority w:val="39"/>
    <w:pPr>
      <w:ind w:left="840" w:leftChars="400"/>
    </w:pPr>
    <w:rPr>
      <w:rFonts w:ascii="等线" w:hAnsi="等线" w:eastAsia="等线"/>
    </w:rPr>
  </w:style>
  <w:style w:type="paragraph" w:styleId="12">
    <w:name w:val="toc 8"/>
    <w:basedOn w:val="1"/>
    <w:next w:val="1"/>
    <w:unhideWhenUsed/>
    <w:qFormat/>
    <w:uiPriority w:val="39"/>
    <w:pPr>
      <w:ind w:left="2940" w:leftChars="1400"/>
    </w:pPr>
    <w:rPr>
      <w:rFonts w:ascii="等线" w:hAnsi="等线" w:eastAsia="等线"/>
    </w:rPr>
  </w:style>
  <w:style w:type="paragraph" w:styleId="13">
    <w:name w:val="Date"/>
    <w:basedOn w:val="1"/>
    <w:next w:val="1"/>
    <w:link w:val="37"/>
    <w:unhideWhenUsed/>
    <w:qFormat/>
    <w:uiPriority w:val="99"/>
    <w:pPr>
      <w:ind w:left="100" w:leftChars="2500"/>
    </w:pPr>
  </w:style>
  <w:style w:type="paragraph" w:styleId="14">
    <w:name w:val="Balloon Text"/>
    <w:basedOn w:val="1"/>
    <w:link w:val="38"/>
    <w:unhideWhenUsed/>
    <w:qFormat/>
    <w:uiPriority w:val="99"/>
    <w:rPr>
      <w:sz w:val="18"/>
      <w:szCs w:val="18"/>
    </w:rPr>
  </w:style>
  <w:style w:type="paragraph" w:styleId="15">
    <w:name w:val="footer"/>
    <w:basedOn w:val="1"/>
    <w:link w:val="39"/>
    <w:unhideWhenUsed/>
    <w:qFormat/>
    <w:uiPriority w:val="99"/>
    <w:pPr>
      <w:tabs>
        <w:tab w:val="center" w:pos="4153"/>
        <w:tab w:val="right" w:pos="8306"/>
      </w:tabs>
      <w:snapToGrid w:val="0"/>
      <w:jc w:val="left"/>
    </w:pPr>
    <w:rPr>
      <w:rFonts w:ascii="等线" w:hAnsi="等线" w:eastAsia="等线"/>
      <w:sz w:val="18"/>
      <w:szCs w:val="18"/>
    </w:rPr>
  </w:style>
  <w:style w:type="paragraph" w:styleId="16">
    <w:name w:val="header"/>
    <w:basedOn w:val="1"/>
    <w:link w:val="40"/>
    <w:unhideWhenUsed/>
    <w:qFormat/>
    <w:uiPriority w:val="99"/>
    <w:pPr>
      <w:pBdr>
        <w:bottom w:val="single" w:color="auto" w:sz="6" w:space="1"/>
      </w:pBdr>
      <w:tabs>
        <w:tab w:val="center" w:pos="4153"/>
        <w:tab w:val="right" w:pos="8306"/>
      </w:tabs>
      <w:snapToGrid w:val="0"/>
      <w:jc w:val="center"/>
    </w:pPr>
    <w:rPr>
      <w:rFonts w:ascii="等线" w:hAnsi="等线" w:eastAsia="等线"/>
      <w:sz w:val="18"/>
      <w:szCs w:val="18"/>
    </w:rPr>
  </w:style>
  <w:style w:type="paragraph" w:styleId="17">
    <w:name w:val="toc 1"/>
    <w:basedOn w:val="1"/>
    <w:next w:val="1"/>
    <w:unhideWhenUsed/>
    <w:qFormat/>
    <w:uiPriority w:val="39"/>
    <w:pPr>
      <w:tabs>
        <w:tab w:val="left" w:pos="1050"/>
        <w:tab w:val="right" w:leader="dot" w:pos="13948"/>
      </w:tabs>
    </w:pPr>
  </w:style>
  <w:style w:type="paragraph" w:styleId="18">
    <w:name w:val="toc 4"/>
    <w:basedOn w:val="1"/>
    <w:next w:val="1"/>
    <w:unhideWhenUsed/>
    <w:qFormat/>
    <w:uiPriority w:val="39"/>
    <w:pPr>
      <w:ind w:left="1260" w:leftChars="600"/>
    </w:pPr>
    <w:rPr>
      <w:rFonts w:ascii="等线" w:hAnsi="等线" w:eastAsia="等线"/>
    </w:rPr>
  </w:style>
  <w:style w:type="paragraph" w:styleId="19">
    <w:name w:val="toc 6"/>
    <w:basedOn w:val="1"/>
    <w:next w:val="1"/>
    <w:unhideWhenUsed/>
    <w:qFormat/>
    <w:uiPriority w:val="39"/>
    <w:pPr>
      <w:ind w:left="2100" w:leftChars="1000"/>
    </w:pPr>
    <w:rPr>
      <w:rFonts w:ascii="等线" w:hAnsi="等线" w:eastAsia="等线"/>
    </w:rPr>
  </w:style>
  <w:style w:type="paragraph" w:styleId="20">
    <w:name w:val="toc 2"/>
    <w:basedOn w:val="1"/>
    <w:next w:val="1"/>
    <w:unhideWhenUsed/>
    <w:qFormat/>
    <w:uiPriority w:val="39"/>
    <w:pPr>
      <w:ind w:left="420" w:leftChars="200"/>
    </w:pPr>
  </w:style>
  <w:style w:type="paragraph" w:styleId="21">
    <w:name w:val="toc 9"/>
    <w:basedOn w:val="1"/>
    <w:next w:val="1"/>
    <w:unhideWhenUsed/>
    <w:qFormat/>
    <w:uiPriority w:val="39"/>
    <w:pPr>
      <w:ind w:left="3360" w:leftChars="1600"/>
    </w:pPr>
    <w:rPr>
      <w:rFonts w:ascii="等线" w:hAnsi="等线" w:eastAsia="等线"/>
    </w:rPr>
  </w:style>
  <w:style w:type="paragraph" w:styleId="22">
    <w:name w:val="Normal (Web)"/>
    <w:basedOn w:val="1"/>
    <w:unhideWhenUsed/>
    <w:qFormat/>
    <w:uiPriority w:val="99"/>
    <w:rPr>
      <w:sz w:val="24"/>
      <w:szCs w:val="24"/>
    </w:rPr>
  </w:style>
  <w:style w:type="paragraph" w:styleId="23">
    <w:name w:val="annotation subject"/>
    <w:basedOn w:val="8"/>
    <w:next w:val="8"/>
    <w:link w:val="41"/>
    <w:unhideWhenUsed/>
    <w:qFormat/>
    <w:uiPriority w:val="99"/>
    <w:rPr>
      <w:b/>
      <w:bCs/>
    </w:rPr>
  </w:style>
  <w:style w:type="table" w:styleId="25">
    <w:name w:val="Table Grid"/>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22"/>
    <w:rPr>
      <w:b/>
      <w:bCs/>
    </w:rPr>
  </w:style>
  <w:style w:type="character" w:styleId="28">
    <w:name w:val="Emphasis"/>
    <w:qFormat/>
    <w:uiPriority w:val="20"/>
    <w:rPr>
      <w:rFonts w:eastAsia="华文新魏"/>
      <w:sz w:val="24"/>
    </w:rPr>
  </w:style>
  <w:style w:type="character" w:styleId="29">
    <w:name w:val="Hyperlink"/>
    <w:unhideWhenUsed/>
    <w:qFormat/>
    <w:uiPriority w:val="99"/>
    <w:rPr>
      <w:color w:val="0563C1"/>
      <w:u w:val="single"/>
    </w:rPr>
  </w:style>
  <w:style w:type="character" w:styleId="30">
    <w:name w:val="annotation reference"/>
    <w:unhideWhenUsed/>
    <w:qFormat/>
    <w:uiPriority w:val="99"/>
    <w:rPr>
      <w:sz w:val="21"/>
      <w:szCs w:val="21"/>
    </w:rPr>
  </w:style>
  <w:style w:type="character" w:customStyle="1" w:styleId="31">
    <w:name w:val="标题 1 字符"/>
    <w:link w:val="2"/>
    <w:qFormat/>
    <w:uiPriority w:val="9"/>
    <w:rPr>
      <w:rFonts w:ascii="Times New Roman" w:hAnsi="Times New Roman" w:eastAsia="宋体" w:cs="Times New Roman"/>
      <w:bCs/>
      <w:kern w:val="44"/>
      <w:sz w:val="28"/>
      <w:szCs w:val="44"/>
      <w:lang w:val="en-US" w:eastAsia="zh-CN" w:bidi="ar-SA"/>
    </w:rPr>
  </w:style>
  <w:style w:type="character" w:customStyle="1" w:styleId="32">
    <w:name w:val="标题 2 字符"/>
    <w:link w:val="4"/>
    <w:qFormat/>
    <w:uiPriority w:val="0"/>
    <w:rPr>
      <w:rFonts w:ascii="Times New Roman" w:hAnsi="Times New Roman" w:eastAsia="黑体" w:cs="Times New Roman"/>
      <w:bCs/>
      <w:sz w:val="21"/>
      <w:szCs w:val="32"/>
    </w:rPr>
  </w:style>
  <w:style w:type="character" w:customStyle="1" w:styleId="33">
    <w:name w:val="标题 3 字符"/>
    <w:link w:val="5"/>
    <w:qFormat/>
    <w:uiPriority w:val="0"/>
    <w:rPr>
      <w:rFonts w:ascii="Times New Roman" w:hAnsi="Times New Roman" w:eastAsia="黑体"/>
      <w:bCs/>
      <w:sz w:val="21"/>
      <w:szCs w:val="32"/>
    </w:rPr>
  </w:style>
  <w:style w:type="character" w:customStyle="1" w:styleId="34">
    <w:name w:val="标题 4 字符"/>
    <w:link w:val="6"/>
    <w:semiHidden/>
    <w:qFormat/>
    <w:uiPriority w:val="9"/>
    <w:rPr>
      <w:rFonts w:ascii="Times New Roman" w:hAnsi="Times New Roman" w:eastAsia="黑体" w:cs="Times New Roman"/>
      <w:bCs/>
      <w:kern w:val="2"/>
      <w:sz w:val="21"/>
      <w:szCs w:val="28"/>
    </w:rPr>
  </w:style>
  <w:style w:type="character" w:customStyle="1" w:styleId="35">
    <w:name w:val="批注文字 字符"/>
    <w:link w:val="8"/>
    <w:qFormat/>
    <w:uiPriority w:val="99"/>
    <w:rPr>
      <w:rFonts w:ascii="Times New Roman" w:hAnsi="Times New Roman" w:eastAsia="宋体" w:cs="Times New Roman"/>
      <w:kern w:val="2"/>
      <w:sz w:val="21"/>
      <w:szCs w:val="22"/>
    </w:rPr>
  </w:style>
  <w:style w:type="character" w:customStyle="1" w:styleId="36">
    <w:name w:val="正文文本 字符"/>
    <w:link w:val="9"/>
    <w:qFormat/>
    <w:uiPriority w:val="1"/>
    <w:rPr>
      <w:rFonts w:ascii="宋体" w:hAnsi="宋体" w:eastAsia="宋体" w:cs="Times New Roman"/>
      <w:color w:val="000000"/>
      <w:lang w:eastAsia="en-US"/>
    </w:rPr>
  </w:style>
  <w:style w:type="character" w:customStyle="1" w:styleId="37">
    <w:name w:val="日期 字符"/>
    <w:link w:val="13"/>
    <w:semiHidden/>
    <w:qFormat/>
    <w:uiPriority w:val="99"/>
    <w:rPr>
      <w:rFonts w:ascii="Times New Roman" w:hAnsi="Times New Roman" w:eastAsia="宋体" w:cs="Times New Roman"/>
      <w:kern w:val="2"/>
      <w:sz w:val="21"/>
      <w:szCs w:val="22"/>
    </w:rPr>
  </w:style>
  <w:style w:type="character" w:customStyle="1" w:styleId="38">
    <w:name w:val="批注框文本 字符"/>
    <w:link w:val="14"/>
    <w:semiHidden/>
    <w:qFormat/>
    <w:uiPriority w:val="99"/>
    <w:rPr>
      <w:rFonts w:ascii="Times New Roman" w:hAnsi="Times New Roman" w:eastAsia="宋体" w:cs="Times New Roman"/>
      <w:kern w:val="2"/>
      <w:sz w:val="18"/>
      <w:szCs w:val="18"/>
    </w:rPr>
  </w:style>
  <w:style w:type="character" w:customStyle="1" w:styleId="39">
    <w:name w:val="页脚 字符"/>
    <w:link w:val="15"/>
    <w:qFormat/>
    <w:uiPriority w:val="99"/>
    <w:rPr>
      <w:sz w:val="18"/>
      <w:szCs w:val="18"/>
    </w:rPr>
  </w:style>
  <w:style w:type="character" w:customStyle="1" w:styleId="40">
    <w:name w:val="页眉 字符"/>
    <w:link w:val="16"/>
    <w:qFormat/>
    <w:uiPriority w:val="99"/>
    <w:rPr>
      <w:sz w:val="18"/>
      <w:szCs w:val="18"/>
    </w:rPr>
  </w:style>
  <w:style w:type="character" w:customStyle="1" w:styleId="41">
    <w:name w:val="批注主题 字符"/>
    <w:link w:val="23"/>
    <w:semiHidden/>
    <w:qFormat/>
    <w:uiPriority w:val="99"/>
    <w:rPr>
      <w:rFonts w:ascii="Times New Roman" w:hAnsi="Times New Roman" w:eastAsia="宋体" w:cs="Times New Roman"/>
      <w:b/>
      <w:bCs/>
      <w:kern w:val="2"/>
      <w:sz w:val="21"/>
      <w:szCs w:val="22"/>
    </w:rPr>
  </w:style>
  <w:style w:type="paragraph" w:customStyle="1" w:styleId="4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43">
    <w:name w:val="标准标志"/>
    <w:basedOn w:val="42"/>
    <w:next w:val="42"/>
    <w:qFormat/>
    <w:uiPriority w:val="99"/>
    <w:rPr>
      <w:color w:val="auto"/>
    </w:rPr>
  </w:style>
  <w:style w:type="paragraph" w:customStyle="1" w:styleId="44">
    <w:name w:val="其他标准称谓"/>
    <w:basedOn w:val="42"/>
    <w:next w:val="42"/>
    <w:qFormat/>
    <w:uiPriority w:val="99"/>
    <w:rPr>
      <w:color w:val="auto"/>
    </w:rPr>
  </w:style>
  <w:style w:type="paragraph" w:customStyle="1" w:styleId="45">
    <w:name w:val="TOC 标题3"/>
    <w:basedOn w:val="2"/>
    <w:next w:val="1"/>
    <w:unhideWhenUsed/>
    <w:qFormat/>
    <w:uiPriority w:val="39"/>
    <w:pPr>
      <w:outlineLvl w:val="9"/>
    </w:pPr>
  </w:style>
  <w:style w:type="character" w:styleId="46">
    <w:name w:val="Placeholder Text"/>
    <w:semiHidden/>
    <w:qFormat/>
    <w:uiPriority w:val="99"/>
    <w:rPr>
      <w:color w:val="808080"/>
    </w:rPr>
  </w:style>
  <w:style w:type="paragraph" w:styleId="47">
    <w:name w:val="List Paragraph"/>
    <w:basedOn w:val="1"/>
    <w:qFormat/>
    <w:uiPriority w:val="34"/>
    <w:pPr>
      <w:ind w:firstLine="420" w:firstLineChars="200"/>
    </w:pPr>
  </w:style>
  <w:style w:type="paragraph" w:styleId="48">
    <w:name w:val="Quote"/>
    <w:basedOn w:val="1"/>
    <w:next w:val="1"/>
    <w:link w:val="49"/>
    <w:qFormat/>
    <w:uiPriority w:val="29"/>
    <w:rPr>
      <w:rFonts w:ascii="Calibri" w:hAnsi="Calibri" w:eastAsia="华文楷体"/>
      <w:sz w:val="24"/>
    </w:rPr>
  </w:style>
  <w:style w:type="character" w:customStyle="1" w:styleId="49">
    <w:name w:val="引用 字符"/>
    <w:link w:val="48"/>
    <w:qFormat/>
    <w:uiPriority w:val="29"/>
    <w:rPr>
      <w:rFonts w:ascii="Calibri" w:hAnsi="Calibri" w:eastAsia="华文楷体" w:cs="Times New Roman"/>
      <w:kern w:val="2"/>
      <w:sz w:val="24"/>
      <w:szCs w:val="22"/>
    </w:rPr>
  </w:style>
  <w:style w:type="character" w:customStyle="1" w:styleId="50">
    <w:name w:val="无间隔 字符"/>
    <w:link w:val="51"/>
    <w:qFormat/>
    <w:uiPriority w:val="1"/>
    <w:rPr>
      <w:rFonts w:ascii="Calibri" w:hAnsi="Calibri" w:eastAsia="宋体" w:cs="Times New Roman"/>
      <w:kern w:val="2"/>
      <w:sz w:val="28"/>
      <w:szCs w:val="22"/>
    </w:rPr>
  </w:style>
  <w:style w:type="paragraph" w:styleId="51">
    <w:name w:val="No Spacing"/>
    <w:basedOn w:val="1"/>
    <w:link w:val="50"/>
    <w:qFormat/>
    <w:uiPriority w:val="1"/>
    <w:pPr>
      <w:widowControl/>
      <w:spacing w:line="312" w:lineRule="auto"/>
      <w:ind w:firstLine="200" w:firstLineChars="200"/>
      <w:jc w:val="left"/>
    </w:pPr>
    <w:rPr>
      <w:rFonts w:ascii="Calibri" w:hAnsi="Calibri"/>
      <w:sz w:val="28"/>
    </w:rPr>
  </w:style>
  <w:style w:type="paragraph" w:customStyle="1" w:styleId="52">
    <w:name w:val="表格文字"/>
    <w:basedOn w:val="1"/>
    <w:link w:val="53"/>
    <w:qFormat/>
    <w:uiPriority w:val="0"/>
    <w:pPr>
      <w:autoSpaceDE w:val="0"/>
      <w:autoSpaceDN w:val="0"/>
      <w:adjustRightInd w:val="0"/>
      <w:jc w:val="center"/>
    </w:pPr>
    <w:rPr>
      <w:kern w:val="0"/>
      <w:sz w:val="15"/>
      <w:szCs w:val="21"/>
    </w:rPr>
  </w:style>
  <w:style w:type="character" w:customStyle="1" w:styleId="53">
    <w:name w:val="表格文字 字符"/>
    <w:link w:val="52"/>
    <w:qFormat/>
    <w:uiPriority w:val="0"/>
    <w:rPr>
      <w:rFonts w:ascii="Times New Roman" w:hAnsi="Times New Roman" w:eastAsia="宋体" w:cs="Times New Roman"/>
      <w:sz w:val="15"/>
      <w:szCs w:val="21"/>
    </w:rPr>
  </w:style>
  <w:style w:type="paragraph" w:customStyle="1" w:styleId="54">
    <w:name w:val="图表名"/>
    <w:basedOn w:val="1"/>
    <w:link w:val="55"/>
    <w:qFormat/>
    <w:uiPriority w:val="0"/>
    <w:pPr>
      <w:autoSpaceDE w:val="0"/>
      <w:autoSpaceDN w:val="0"/>
      <w:adjustRightInd w:val="0"/>
      <w:jc w:val="center"/>
    </w:pPr>
    <w:rPr>
      <w:rFonts w:eastAsia="黑体"/>
      <w:kern w:val="0"/>
      <w:sz w:val="18"/>
      <w:szCs w:val="21"/>
    </w:rPr>
  </w:style>
  <w:style w:type="character" w:customStyle="1" w:styleId="55">
    <w:name w:val="图表名 字符"/>
    <w:link w:val="54"/>
    <w:qFormat/>
    <w:uiPriority w:val="0"/>
    <w:rPr>
      <w:rFonts w:ascii="Times New Roman" w:hAnsi="Times New Roman" w:eastAsia="黑体" w:cs="Times New Roman"/>
      <w:sz w:val="18"/>
      <w:szCs w:val="21"/>
    </w:rPr>
  </w:style>
  <w:style w:type="paragraph" w:customStyle="1" w:styleId="56">
    <w:name w:val="表格标注"/>
    <w:basedOn w:val="1"/>
    <w:link w:val="58"/>
    <w:qFormat/>
    <w:uiPriority w:val="0"/>
    <w:rPr>
      <w:sz w:val="15"/>
    </w:rPr>
  </w:style>
  <w:style w:type="character" w:customStyle="1" w:styleId="57">
    <w:name w:val="表格标注 字符"/>
    <w:qFormat/>
    <w:uiPriority w:val="0"/>
    <w:rPr>
      <w:rFonts w:ascii="Times New Roman" w:hAnsi="Times New Roman" w:eastAsia="宋体" w:cs="Times New Roman"/>
      <w:kern w:val="2"/>
      <w:sz w:val="15"/>
      <w:szCs w:val="22"/>
    </w:rPr>
  </w:style>
  <w:style w:type="character" w:customStyle="1" w:styleId="58">
    <w:name w:val="表格标注 Char"/>
    <w:link w:val="56"/>
    <w:qFormat/>
    <w:uiPriority w:val="0"/>
    <w:rPr>
      <w:rFonts w:ascii="Times New Roman" w:hAnsi="Times New Roman" w:eastAsia="仿宋" w:cs="Times New Roman"/>
      <w:kern w:val="2"/>
      <w:sz w:val="18"/>
      <w:szCs w:val="18"/>
      <w:lang w:val="en-US" w:eastAsia="zh-CN" w:bidi="ar-SA"/>
    </w:rPr>
  </w:style>
  <w:style w:type="character" w:customStyle="1" w:styleId="59">
    <w:name w:val="Body text|1_"/>
    <w:link w:val="60"/>
    <w:qFormat/>
    <w:uiPriority w:val="0"/>
    <w:rPr>
      <w:rFonts w:ascii="宋体" w:hAnsi="宋体" w:eastAsia="宋体" w:cs="宋体"/>
      <w:lang w:val="zh-TW" w:eastAsia="zh-TW" w:bidi="zh-TW"/>
    </w:rPr>
  </w:style>
  <w:style w:type="paragraph" w:customStyle="1" w:styleId="60">
    <w:name w:val="Body text|1"/>
    <w:basedOn w:val="1"/>
    <w:link w:val="59"/>
    <w:qFormat/>
    <w:uiPriority w:val="0"/>
    <w:pPr>
      <w:spacing w:line="329" w:lineRule="auto"/>
      <w:jc w:val="left"/>
    </w:pPr>
    <w:rPr>
      <w:rFonts w:ascii="宋体" w:hAnsi="宋体" w:cs="宋体"/>
      <w:kern w:val="0"/>
      <w:sz w:val="20"/>
      <w:szCs w:val="20"/>
      <w:lang w:val="zh-TW" w:eastAsia="zh-TW" w:bidi="zh-TW"/>
    </w:rPr>
  </w:style>
  <w:style w:type="character" w:customStyle="1" w:styleId="61">
    <w:name w:val="Other|1_"/>
    <w:link w:val="62"/>
    <w:qFormat/>
    <w:uiPriority w:val="0"/>
    <w:rPr>
      <w:rFonts w:ascii="宋体" w:hAnsi="宋体" w:eastAsia="宋体" w:cs="宋体"/>
      <w:lang w:val="zh-TW" w:eastAsia="zh-TW" w:bidi="zh-TW"/>
    </w:rPr>
  </w:style>
  <w:style w:type="paragraph" w:customStyle="1" w:styleId="62">
    <w:name w:val="Other|1"/>
    <w:basedOn w:val="1"/>
    <w:link w:val="61"/>
    <w:qFormat/>
    <w:uiPriority w:val="0"/>
    <w:pPr>
      <w:spacing w:line="329" w:lineRule="auto"/>
      <w:jc w:val="left"/>
    </w:pPr>
    <w:rPr>
      <w:rFonts w:ascii="宋体" w:hAnsi="宋体" w:cs="宋体"/>
      <w:kern w:val="0"/>
      <w:sz w:val="20"/>
      <w:szCs w:val="20"/>
      <w:lang w:val="zh-TW" w:eastAsia="zh-TW" w:bidi="zh-TW"/>
    </w:rPr>
  </w:style>
  <w:style w:type="paragraph" w:customStyle="1" w:styleId="63">
    <w:name w:val="一般条文"/>
    <w:basedOn w:val="1"/>
    <w:qFormat/>
    <w:uiPriority w:val="0"/>
    <w:rPr>
      <w:color w:val="000000"/>
      <w:szCs w:val="21"/>
    </w:rPr>
  </w:style>
  <w:style w:type="paragraph" w:customStyle="1" w:styleId="64">
    <w:name w:val="TOC 标题1"/>
    <w:basedOn w:val="2"/>
    <w:next w:val="1"/>
    <w:unhideWhenUsed/>
    <w:qFormat/>
    <w:uiPriority w:val="39"/>
    <w:pPr>
      <w:widowControl/>
      <w:spacing w:before="240" w:after="0" w:line="259" w:lineRule="auto"/>
      <w:jc w:val="left"/>
      <w:outlineLvl w:val="9"/>
    </w:pPr>
    <w:rPr>
      <w:rFonts w:ascii="等线 Light" w:hAnsi="等线 Light" w:eastAsia="等线 Light"/>
      <w:bCs w:val="0"/>
      <w:color w:val="2F5496"/>
      <w:kern w:val="0"/>
      <w:sz w:val="32"/>
      <w:szCs w:val="32"/>
    </w:rPr>
  </w:style>
  <w:style w:type="table" w:customStyle="1" w:styleId="65">
    <w:name w:val="网格型1"/>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6">
    <w:name w:val="修订1"/>
    <w:semiHidden/>
    <w:qFormat/>
    <w:uiPriority w:val="99"/>
    <w:rPr>
      <w:rFonts w:ascii="Times New Roman" w:hAnsi="Times New Roman" w:eastAsia="宋体" w:cs="Times New Roman"/>
      <w:kern w:val="2"/>
      <w:sz w:val="21"/>
      <w:szCs w:val="22"/>
      <w:lang w:val="en-US" w:eastAsia="zh-CN" w:bidi="ar-SA"/>
    </w:rPr>
  </w:style>
  <w:style w:type="paragraph" w:customStyle="1" w:styleId="67">
    <w:name w:val="修订2"/>
    <w:semiHidden/>
    <w:qFormat/>
    <w:uiPriority w:val="99"/>
    <w:rPr>
      <w:rFonts w:ascii="Times New Roman" w:hAnsi="Times New Roman" w:eastAsia="宋体" w:cs="Times New Roman"/>
      <w:kern w:val="2"/>
      <w:sz w:val="21"/>
      <w:szCs w:val="22"/>
      <w:lang w:val="en-US" w:eastAsia="zh-CN" w:bidi="ar-SA"/>
    </w:rPr>
  </w:style>
  <w:style w:type="paragraph" w:customStyle="1" w:styleId="68">
    <w:name w:val="修订3"/>
    <w:semiHidden/>
    <w:qFormat/>
    <w:uiPriority w:val="99"/>
    <w:rPr>
      <w:rFonts w:ascii="Times New Roman" w:hAnsi="Times New Roman" w:eastAsia="宋体" w:cs="Times New Roman"/>
      <w:kern w:val="2"/>
      <w:sz w:val="21"/>
      <w:szCs w:val="22"/>
      <w:lang w:val="en-US" w:eastAsia="zh-CN" w:bidi="ar-SA"/>
    </w:rPr>
  </w:style>
  <w:style w:type="paragraph" w:customStyle="1" w:styleId="69">
    <w:name w:val="修订4"/>
    <w:unhideWhenUsed/>
    <w:qFormat/>
    <w:uiPriority w:val="99"/>
    <w:rPr>
      <w:rFonts w:ascii="Times New Roman" w:hAnsi="Times New Roman" w:eastAsia="宋体" w:cs="Times New Roman"/>
      <w:kern w:val="2"/>
      <w:sz w:val="21"/>
      <w:szCs w:val="22"/>
      <w:lang w:val="en-US" w:eastAsia="zh-CN" w:bidi="ar-SA"/>
    </w:rPr>
  </w:style>
  <w:style w:type="paragraph" w:customStyle="1" w:styleId="70">
    <w:name w:val="修订5"/>
    <w:unhideWhenUsed/>
    <w:qFormat/>
    <w:uiPriority w:val="99"/>
    <w:rPr>
      <w:rFonts w:ascii="Times New Roman" w:hAnsi="Times New Roman" w:eastAsia="宋体" w:cs="Times New Roman"/>
      <w:kern w:val="2"/>
      <w:sz w:val="21"/>
      <w:szCs w:val="22"/>
      <w:lang w:val="en-US" w:eastAsia="zh-CN" w:bidi="ar-SA"/>
    </w:rPr>
  </w:style>
  <w:style w:type="paragraph" w:customStyle="1" w:styleId="71">
    <w:name w:val="修订6"/>
    <w:unhideWhenUsed/>
    <w:qFormat/>
    <w:uiPriority w:val="99"/>
    <w:rPr>
      <w:rFonts w:ascii="Times New Roman" w:hAnsi="Times New Roman" w:eastAsia="宋体" w:cs="Times New Roman"/>
      <w:kern w:val="2"/>
      <w:sz w:val="21"/>
      <w:szCs w:val="22"/>
      <w:lang w:val="en-US" w:eastAsia="zh-CN" w:bidi="ar-SA"/>
    </w:rPr>
  </w:style>
  <w:style w:type="paragraph" w:customStyle="1" w:styleId="72">
    <w:name w:val="修订7"/>
    <w:unhideWhenUsed/>
    <w:qFormat/>
    <w:uiPriority w:val="99"/>
    <w:rPr>
      <w:rFonts w:ascii="Times New Roman" w:hAnsi="Times New Roman" w:eastAsia="宋体" w:cs="Times New Roman"/>
      <w:kern w:val="2"/>
      <w:sz w:val="21"/>
      <w:szCs w:val="22"/>
      <w:lang w:val="en-US" w:eastAsia="zh-CN" w:bidi="ar-SA"/>
    </w:rPr>
  </w:style>
  <w:style w:type="paragraph" w:customStyle="1" w:styleId="73">
    <w:name w:val="修订8"/>
    <w:unhideWhenUsed/>
    <w:qFormat/>
    <w:uiPriority w:val="99"/>
    <w:rPr>
      <w:rFonts w:ascii="Times New Roman" w:hAnsi="Times New Roman" w:eastAsia="宋体" w:cs="Times New Roman"/>
      <w:kern w:val="2"/>
      <w:sz w:val="21"/>
      <w:szCs w:val="22"/>
      <w:lang w:val="en-US" w:eastAsia="zh-CN" w:bidi="ar-SA"/>
    </w:rPr>
  </w:style>
  <w:style w:type="paragraph" w:customStyle="1" w:styleId="74">
    <w:name w:val="条文说明"/>
    <w:basedOn w:val="1"/>
    <w:link w:val="75"/>
    <w:qFormat/>
    <w:uiPriority w:val="0"/>
    <w:pPr>
      <w:tabs>
        <w:tab w:val="left" w:pos="0"/>
      </w:tabs>
      <w:spacing w:line="312" w:lineRule="auto"/>
      <w:ind w:firstLine="420" w:firstLineChars="200"/>
    </w:pPr>
    <w:rPr>
      <w:rFonts w:eastAsia="楷体"/>
      <w:color w:val="C00000"/>
    </w:rPr>
  </w:style>
  <w:style w:type="character" w:customStyle="1" w:styleId="75">
    <w:name w:val="条文说明 Char"/>
    <w:link w:val="74"/>
    <w:qFormat/>
    <w:uiPriority w:val="0"/>
    <w:rPr>
      <w:rFonts w:eastAsia="楷体"/>
      <w:color w:val="C00000"/>
      <w:kern w:val="2"/>
      <w:sz w:val="21"/>
      <w:szCs w:val="22"/>
    </w:rPr>
  </w:style>
  <w:style w:type="paragraph" w:customStyle="1" w:styleId="76">
    <w:name w:val="WPSOffice手动目录 1"/>
    <w:qFormat/>
    <w:uiPriority w:val="0"/>
    <w:rPr>
      <w:rFonts w:ascii="Times New Roman" w:hAnsi="Times New Roman" w:eastAsia="宋体" w:cs="Times New Roman"/>
      <w:lang w:val="en-US" w:eastAsia="zh-CN" w:bidi="ar-SA"/>
    </w:rPr>
  </w:style>
  <w:style w:type="paragraph" w:customStyle="1" w:styleId="77">
    <w:name w:val="WPSOffice手动目录 2"/>
    <w:qFormat/>
    <w:uiPriority w:val="0"/>
    <w:pPr>
      <w:ind w:left="200" w:leftChars="200"/>
    </w:pPr>
    <w:rPr>
      <w:rFonts w:ascii="Times New Roman" w:hAnsi="Times New Roman" w:eastAsia="宋体" w:cs="Times New Roman"/>
      <w:lang w:val="en-US" w:eastAsia="zh-CN" w:bidi="ar-SA"/>
    </w:rPr>
  </w:style>
  <w:style w:type="table" w:customStyle="1" w:styleId="78">
    <w:name w:val="Table Normal"/>
    <w:unhideWhenUsed/>
    <w:qFormat/>
    <w:uiPriority w:val="0"/>
    <w:tblPr>
      <w:tblCellMar>
        <w:top w:w="0" w:type="dxa"/>
        <w:left w:w="0" w:type="dxa"/>
        <w:bottom w:w="0" w:type="dxa"/>
        <w:right w:w="0" w:type="dxa"/>
      </w:tblCellMar>
    </w:tblPr>
  </w:style>
  <w:style w:type="paragraph" w:customStyle="1" w:styleId="79">
    <w:name w:val="Table Text"/>
    <w:basedOn w:val="1"/>
    <w:semiHidden/>
    <w:qFormat/>
    <w:uiPriority w:val="0"/>
    <w:rPr>
      <w:rFonts w:eastAsia="Times New Roman"/>
      <w:sz w:val="14"/>
      <w:szCs w:val="14"/>
      <w:lang w:eastAsia="en-US"/>
    </w:rPr>
  </w:style>
  <w:style w:type="paragraph" w:customStyle="1" w:styleId="80">
    <w:name w:val="修订9"/>
    <w:unhideWhenUsed/>
    <w:qFormat/>
    <w:uiPriority w:val="99"/>
    <w:rPr>
      <w:rFonts w:ascii="Times New Roman" w:hAnsi="Times New Roman" w:eastAsia="宋体" w:cs="Times New Roman"/>
      <w:kern w:val="2"/>
      <w:sz w:val="21"/>
      <w:szCs w:val="22"/>
      <w:lang w:val="en-US" w:eastAsia="zh-CN" w:bidi="ar-SA"/>
    </w:rPr>
  </w:style>
  <w:style w:type="paragraph" w:customStyle="1" w:styleId="81">
    <w:name w:val="修订10"/>
    <w:unhideWhenUsed/>
    <w:qFormat/>
    <w:uiPriority w:val="99"/>
    <w:rPr>
      <w:rFonts w:ascii="Times New Roman" w:hAnsi="Times New Roman" w:eastAsia="宋体" w:cs="Times New Roman"/>
      <w:kern w:val="2"/>
      <w:sz w:val="21"/>
      <w:szCs w:val="22"/>
      <w:lang w:val="en-US" w:eastAsia="zh-CN" w:bidi="ar-SA"/>
    </w:rPr>
  </w:style>
  <w:style w:type="paragraph" w:customStyle="1" w:styleId="82">
    <w:name w:val="修订11"/>
    <w:unhideWhenUsed/>
    <w:qFormat/>
    <w:uiPriority w:val="99"/>
    <w:rPr>
      <w:rFonts w:ascii="Times New Roman" w:hAnsi="Times New Roman" w:eastAsia="宋体" w:cs="Times New Roman"/>
      <w:kern w:val="2"/>
      <w:sz w:val="21"/>
      <w:szCs w:val="22"/>
      <w:lang w:val="en-US" w:eastAsia="zh-CN" w:bidi="ar-SA"/>
    </w:rPr>
  </w:style>
  <w:style w:type="paragraph" w:customStyle="1" w:styleId="83">
    <w:name w:val="_Style 82"/>
    <w:unhideWhenUsed/>
    <w:qFormat/>
    <w:uiPriority w:val="99"/>
    <w:rPr>
      <w:rFonts w:ascii="Times New Roman" w:hAnsi="Times New Roman" w:eastAsia="宋体" w:cs="Times New Roman"/>
      <w:kern w:val="2"/>
      <w:sz w:val="21"/>
      <w:szCs w:val="22"/>
      <w:lang w:val="en-US" w:eastAsia="zh-CN" w:bidi="ar-SA"/>
    </w:rPr>
  </w:style>
  <w:style w:type="paragraph" w:customStyle="1" w:styleId="84">
    <w:name w:val="条文-图标名"/>
    <w:basedOn w:val="54"/>
    <w:qFormat/>
    <w:uiPriority w:val="0"/>
    <w:rPr>
      <w:rFonts w:hint="eastAsia" w:ascii="楷体" w:hAnsi="楷体" w:eastAsia="楷体" w:cs="楷体"/>
      <w:color w:val="0766D4"/>
    </w:rPr>
  </w:style>
  <w:style w:type="paragraph" w:customStyle="1" w:styleId="85">
    <w:name w:val="条文-表格文字小五"/>
    <w:basedOn w:val="1"/>
    <w:qFormat/>
    <w:uiPriority w:val="0"/>
    <w:pPr>
      <w:autoSpaceDE w:val="0"/>
      <w:autoSpaceDN w:val="0"/>
      <w:adjustRightInd w:val="0"/>
      <w:jc w:val="center"/>
    </w:pPr>
    <w:rPr>
      <w:rFonts w:hint="eastAsia" w:eastAsia="楷体"/>
      <w:iCs/>
      <w:color w:val="0766D4"/>
      <w:kern w:val="0"/>
      <w:sz w:val="18"/>
      <w:szCs w:val="18"/>
    </w:rPr>
  </w:style>
  <w:style w:type="paragraph" w:customStyle="1" w:styleId="86">
    <w:name w:val="修订12"/>
    <w:hidden/>
    <w:unhideWhenUsed/>
    <w:qFormat/>
    <w:uiPriority w:val="99"/>
    <w:rPr>
      <w:rFonts w:ascii="Times New Roman" w:hAnsi="Times New Roman" w:eastAsia="宋体" w:cs="Times New Roman"/>
      <w:kern w:val="2"/>
      <w:sz w:val="21"/>
      <w:szCs w:val="22"/>
      <w:lang w:val="en-US" w:eastAsia="zh-CN" w:bidi="ar-SA"/>
    </w:rPr>
  </w:style>
  <w:style w:type="paragraph" w:customStyle="1" w:styleId="87">
    <w:name w:val="Revision"/>
    <w:hidden/>
    <w:unhideWhenUsed/>
    <w:qFormat/>
    <w:uiPriority w:val="99"/>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3" Type="http://schemas.openxmlformats.org/officeDocument/2006/relationships/fontTable" Target="fontTable.xml"/><Relationship Id="rId72" Type="http://schemas.openxmlformats.org/officeDocument/2006/relationships/customXml" Target="../customXml/item3.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footer" Target="footer5.xml"/><Relationship Id="rId69" Type="http://schemas.openxmlformats.org/officeDocument/2006/relationships/customXml" Target="../customXml/item1.xml"/><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image" Target="media/image54.png"/><Relationship Id="rId65" Type="http://schemas.openxmlformats.org/officeDocument/2006/relationships/image" Target="media/image53.png"/><Relationship Id="rId64" Type="http://schemas.openxmlformats.org/officeDocument/2006/relationships/image" Target="media/image52.jpeg"/><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footer" Target="footer4.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footer" Target="footer3.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2.xml"/><Relationship Id="rId39" Type="http://schemas.openxmlformats.org/officeDocument/2006/relationships/image" Target="media/image27.png"/><Relationship Id="rId38" Type="http://schemas.openxmlformats.org/officeDocument/2006/relationships/image" Target="media/image26.emf"/><Relationship Id="rId37" Type="http://schemas.openxmlformats.org/officeDocument/2006/relationships/image" Target="media/image25.emf"/><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er" Target="foot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Version="6" SelectedStyle="\APASixthEditionOfficeOnline.xsl" StyleName="APA"/>
</file>

<file path=customXml/item3.xml><?xml version="1.0" encoding="utf-8"?>
<contractReview xmlns="http://schemas.wps.cn/vas-ai-hub/contract-review">
  <reviewItems xmlns="http://schemas.wps.cn/vas-ai-hub/contract-review">
    <reviewItem xmlns="http://schemas.wps.cn/vas-ai-hub/contract-review">
      <errorID xmlns="http://schemas.wps.cn/vas-ai-hub/contract-review">a00774ae-9f41-40f7-9bf0-ca0b5e120f7c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65DD77B3</paraID>
      <start xmlns="http://schemas.wps.cn/vas-ai-hub/contract-review">34</start>
      <end xmlns="http://schemas.wps.cn/vas-ai-hub/contract-review">36</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48f80652-bb96-41e3-a4b3-a63a5e53f33b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2126E44</paraID>
      <start xmlns="http://schemas.wps.cn/vas-ai-hub/contract-review">25</start>
      <end xmlns="http://schemas.wps.cn/vas-ai-hub/contract-review">27</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3a37e627-ea5c-479d-bd60-465684f4e62d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2126E44</paraID>
      <start xmlns="http://schemas.wps.cn/vas-ai-hub/contract-review">29</start>
      <end xmlns="http://schemas.wps.cn/vas-ai-hub/contract-review">31</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e8f43bb5-ac3c-4601-af20-8fcf54ad2ed8</errorID>
      <errorWord xmlns="http://schemas.wps.cn/vas-ai-hub/contract-review">地方的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地方</item>
      </candidateList>
      <explain xmlns="http://schemas.wps.cn/vas-ai-hub/contract-review"/>
      <paraID xmlns="http://schemas.wps.cn/vas-ai-hub/contract-review"> 93DD4CF</paraID>
      <start xmlns="http://schemas.wps.cn/vas-ai-hub/contract-review">74</start>
      <end xmlns="http://schemas.wps.cn/vas-ai-hub/contract-review">77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5083b318-bdd3-4e43-ab3c-ecbd15932b60</errorID>
      <errorWord xmlns="http://schemas.wps.cn/vas-ai-hub/contract-review">详实</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翔实</item>
      </candidateList>
      <explain xmlns="http://schemas.wps.cn/vas-ai-hub/contract-review"/>
      <paraID xmlns="http://schemas.wps.cn/vas-ai-hub/contract-review"> BE99AA6</paraID>
      <start xmlns="http://schemas.wps.cn/vas-ai-hub/contract-review">87</start>
      <end xmlns="http://schemas.wps.cn/vas-ai-hub/contract-review">89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9c052987-cbbb-4df4-813d-5e8bd2eee557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102209F6</paraID>
      <start xmlns="http://schemas.wps.cn/vas-ai-hub/contract-review">82</start>
      <end xmlns="http://schemas.wps.cn/vas-ai-hub/contract-review">83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44603360-3841-4f12-8446-ec73583eda75</errorID>
      <errorWord xmlns="http://schemas.wps.cn/vas-ai-hub/contract-review">标志</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标准</item>
      </candidateList>
      <explain xmlns="http://schemas.wps.cn/vas-ai-hub/contract-review">❶〈名〉衡量事物的准则：技术～｜实践是检验真理的唯一～。❷〈形〉本身合于准则，可供同类事物比较核对的：～音｜～时｜她的发音很～。</explain>
      <paraID xmlns="http://schemas.wps.cn/vas-ai-hub/contract-review">1C37CECB</paraID>
      <start xmlns="http://schemas.wps.cn/vas-ai-hub/contract-review">28</start>
      <end xmlns="http://schemas.wps.cn/vas-ai-hub/contract-review">30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085e92a5-d9f4-47b4-bc3e-56161369b9b8</errorID>
      <errorWord xmlns="http://schemas.wps.cn/vas-ai-hub/contract-review">(a)</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（a）</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3ECE598D</paraID>
      <start xmlns="http://schemas.wps.cn/vas-ai-hub/contract-review">0</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95bf8123-f51a-4bc4-8847-12c9b6ec3854</errorID>
      <errorWord xmlns="http://schemas.wps.cn/vas-ai-hub/contract-review">(b)</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（b）</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22090E2C</paraID>
      <start xmlns="http://schemas.wps.cn/vas-ai-hub/contract-review">0</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b041fb41-f67e-4c7c-8157-fa15b838e4e1</errorID>
      <errorWord xmlns="http://schemas.wps.cn/vas-ai-hub/contract-review">(c)</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（c）</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1AD603C8</paraID>
      <start xmlns="http://schemas.wps.cn/vas-ai-hub/contract-review">0</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fd5bb3a8-0fea-4101-ad8a-5de70dddd0ae</errorID>
      <errorWord xmlns="http://schemas.wps.cn/vas-ai-hub/contract-review">(d)</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（d）</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61E92359</paraID>
      <start xmlns="http://schemas.wps.cn/vas-ai-hub/contract-review">0</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007a8d0d-0ae6-45e1-8c6c-60bce1255e88</errorID>
      <errorWord xmlns="http://schemas.wps.cn/vas-ai-hub/contract-review">(e)</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（e）</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79D9B69</paraID>
      <start xmlns="http://schemas.wps.cn/vas-ai-hub/contract-review">0</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edc09479-f702-4bbd-94b6-1785eee8fbab</errorID>
      <errorWord xmlns="http://schemas.wps.cn/vas-ai-hub/contract-review">(f)</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（f）</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76C7CE8</paraID>
      <start xmlns="http://schemas.wps.cn/vas-ai-hub/contract-review">0</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ad32c510-bffc-4dc4-b6b0-adb1a8c6bf72</errorID>
      <errorWord xmlns="http://schemas.wps.cn/vas-ai-hub/contract-review">回字型</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回字形</item>
      </candidateList>
      <explain xmlns="http://schemas.wps.cn/vas-ai-hub/contract-review">词汇[回字型]为不规范表述或旧称，其规范书面表述为[回字形]。</explain>
      <paraID xmlns="http://schemas.wps.cn/vas-ai-hub/contract-review"> 76C7CE8</paraID>
      <start xmlns="http://schemas.wps.cn/vas-ai-hub/contract-review">5</start>
      <end xmlns="http://schemas.wps.cn/vas-ai-hub/contract-review">11</end>
      <status xmlns="http://schemas.wps.cn/vas-ai-hub/contract-review">modified</status>
      <modifiedWord xmlns="http://schemas.wps.cn/vas-ai-hub/contract-review">回字形</modifiedWord>
      <trackRevisions xmlns="http://schemas.wps.cn/vas-ai-hub/contract-review">true</trackRevisions>
    </reviewItem>
    <reviewItem xmlns="http://schemas.wps.cn/vas-ai-hub/contract-review">
      <errorID xmlns="http://schemas.wps.cn/vas-ai-hub/contract-review">a3ba97ef-893f-473f-96b2-defb4e59c30d</errorID>
      <errorWord xmlns="http://schemas.wps.cn/vas-ai-hub/contract-review">(g)</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（g）</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7AFFC1BE</paraID>
      <start xmlns="http://schemas.wps.cn/vas-ai-hub/contract-review">0</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cff43019-139f-4393-af63-843bbac1120f</errorID>
      <errorWord xmlns="http://schemas.wps.cn/vas-ai-hub/contract-review">(h)</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（h）</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44B6338F</paraID>
      <start xmlns="http://schemas.wps.cn/vas-ai-hub/contract-review">0</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f08ad308-e50f-4b38-8af8-f7b10548711c</errorID>
      <errorWord xmlns="http://schemas.wps.cn/vas-ai-hub/contract-review">雨篷</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雨棚</item>
      </candidateList>
      <explain xmlns="http://schemas.wps.cn/vas-ai-hub/contract-review">存在发音相同字词的误用。</explain>
      <paraID xmlns="http://schemas.wps.cn/vas-ai-hub/contract-review">356D7122</paraID>
      <start xmlns="http://schemas.wps.cn/vas-ai-hub/contract-review">19</start>
      <end xmlns="http://schemas.wps.cn/vas-ai-hub/contract-review">23</end>
      <status xmlns="http://schemas.wps.cn/vas-ai-hub/contract-review">modified</status>
      <modifiedWord xmlns="http://schemas.wps.cn/vas-ai-hub/contract-review">雨棚</modifiedWord>
      <trackRevisions xmlns="http://schemas.wps.cn/vas-ai-hub/contract-review">true</trackRevisions>
    </reviewItem>
    <reviewItem xmlns="http://schemas.wps.cn/vas-ai-hub/contract-review">
      <errorID xmlns="http://schemas.wps.cn/vas-ai-hub/contract-review">95054642-c80f-4f59-99da-a107eed19cd9</errorID>
      <errorWord xmlns="http://schemas.wps.cn/vas-ai-hub/contract-review">应留</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应</item>
      </candidateList>
      <explain xmlns="http://schemas.wps.cn/vas-ai-hub/contract-review"/>
      <paraID xmlns="http://schemas.wps.cn/vas-ai-hub/contract-review">3B3208CB</paraID>
      <start xmlns="http://schemas.wps.cn/vas-ai-hub/contract-review">9</start>
      <end xmlns="http://schemas.wps.cn/vas-ai-hub/contract-review">12</end>
      <status xmlns="http://schemas.wps.cn/vas-ai-hub/contract-review">modified</status>
      <modifiedWord xmlns="http://schemas.wps.cn/vas-ai-hub/contract-review">应</modifiedWord>
      <trackRevisions xmlns="http://schemas.wps.cn/vas-ai-hub/contract-review">true</trackRevisions>
    </reviewItem>
    <reviewItem xmlns="http://schemas.wps.cn/vas-ai-hub/contract-review">
      <errorID xmlns="http://schemas.wps.cn/vas-ai-hub/contract-review">07709092-b76b-4c64-9bef-443f5afa7ea1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1331DC23</paraID>
      <start xmlns="http://schemas.wps.cn/vas-ai-hub/contract-review">74</start>
      <end xmlns="http://schemas.wps.cn/vas-ai-hub/contract-review">76</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69bf9bd9-afb8-4292-927b-21453750c75d</errorID>
      <errorWord xmlns="http://schemas.wps.cn/vas-ai-hub/contract-review">的</errorWord>
      <group xmlns="http://schemas.wps.cn/vas-ai-hub/contract-review">L1_Word</group>
      <groupName xmlns="http://schemas.wps.cn/vas-ai-hub/contract-review">字词问题</groupName>
      <ability xmlns="http://schemas.wps.cn/vas-ai-hub/contract-review">L2_DDD</ability>
      <abilityName xmlns="http://schemas.wps.cn/vas-ai-hub/contract-review">的地得用法</abilityName>
      <candidateList xmlns="http://schemas.wps.cn/vas-ai-hub/contract-review">
        <item xmlns="http://schemas.wps.cn/vas-ai-hub/contract-review">地</item>
      </candidateList>
      <explain xmlns="http://schemas.wps.cn/vas-ai-hub/contract-review">“地”常用于连接修饰语与动词性中心语，表示动作的方式、状态或程度。</explain>
      <paraID xmlns="http://schemas.wps.cn/vas-ai-hub/contract-review">4956CD39</paraID>
      <start xmlns="http://schemas.wps.cn/vas-ai-hub/contract-review">46</start>
      <end xmlns="http://schemas.wps.cn/vas-ai-hub/contract-review">47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6913312f-7cbc-4210-b184-5091cb6458e8</errorID>
      <errorWord xmlns="http://schemas.wps.cn/vas-ai-hub/contract-review">(a)</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（a）</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4A93B6</paraID>
      <start xmlns="http://schemas.wps.cn/vas-ai-hub/contract-review">0</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c62bb3d7-7b44-4193-8caf-61c8f7ff4764</errorID>
      <errorWord xmlns="http://schemas.wps.cn/vas-ai-hub/contract-review">(b)</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（b）</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72CECC3F</paraID>
      <start xmlns="http://schemas.wps.cn/vas-ai-hub/contract-review">0</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4cccd6b4-dac8-446a-9778-e5e87ce4238a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2A939295</paraID>
      <start xmlns="http://schemas.wps.cn/vas-ai-hub/contract-review">20</start>
      <end xmlns="http://schemas.wps.cn/vas-ai-hub/contract-review">22</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711abe68-060a-4b92-94a4-ab61364c84f5</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此处标点可能未正确匹配，请检查句子中是否存在标点冗余、缺失或使用错误的情况。</explain>
      <paraID xmlns="http://schemas.wps.cn/vas-ai-hub/contract-review">2DCEE9FD</paraID>
      <start xmlns="http://schemas.wps.cn/vas-ai-hub/contract-review">65</start>
      <end xmlns="http://schemas.wps.cn/vas-ai-hub/contract-review">66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1219343f-fc88-4278-b1be-75026573d8a8</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此处标点可能未正确匹配，请检查句子中是否存在标点冗余、缺失或使用错误的情况。</explain>
      <paraID xmlns="http://schemas.wps.cn/vas-ai-hub/contract-review">2DCEE9FD</paraID>
      <start xmlns="http://schemas.wps.cn/vas-ai-hub/contract-review">88</start>
      <end xmlns="http://schemas.wps.cn/vas-ai-hub/contract-review">89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e8103442-ab3d-434e-aa30-619143fcec79</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此处标点可能未正确匹配，请检查句子中是否存在标点冗余、缺失或使用错误的情况。</explain>
      <paraID xmlns="http://schemas.wps.cn/vas-ai-hub/contract-review">2DCEE9FD</paraID>
      <start xmlns="http://schemas.wps.cn/vas-ai-hub/contract-review">126</start>
      <end xmlns="http://schemas.wps.cn/vas-ai-hub/contract-review">127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0512b652-9b3f-48e2-b367-53267b151d4f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2DCEE9FD</paraID>
      <start xmlns="http://schemas.wps.cn/vas-ai-hub/contract-review">142</start>
      <end xmlns="http://schemas.wps.cn/vas-ai-hub/contract-review">144</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670f161b-5d0e-4fd5-9e6a-05067e528fdf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2DCEE9FD</paraID>
      <start xmlns="http://schemas.wps.cn/vas-ai-hub/contract-review">154</start>
      <end xmlns="http://schemas.wps.cn/vas-ai-hub/contract-review">156</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7a182fbd-a947-4835-b7a9-081eda8c02d9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2DCEE9FD</paraID>
      <start xmlns="http://schemas.wps.cn/vas-ai-hub/contract-review">202</start>
      <end xmlns="http://schemas.wps.cn/vas-ai-hub/contract-review">204</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4cfd2883-aa15-4c9c-9511-5a0f27833cef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2DCEE9FD</paraID>
      <start xmlns="http://schemas.wps.cn/vas-ai-hub/contract-review">214</start>
      <end xmlns="http://schemas.wps.cn/vas-ai-hub/contract-review">216</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ab97d2f9-3aaa-44d5-b9d6-0cc946c3d43d</errorID>
      <errorWord xmlns="http://schemas.wps.cn/vas-ai-hub/contract-review">(a)</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（a）</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1768BFE8</paraID>
      <start xmlns="http://schemas.wps.cn/vas-ai-hub/contract-review">0</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42d3edfb-976f-4b56-ac38-864177be986c</errorID>
      <errorWord xmlns="http://schemas.wps.cn/vas-ai-hub/contract-review">(b)</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（b）</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518126FE</paraID>
      <start xmlns="http://schemas.wps.cn/vas-ai-hub/contract-review">0</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8770ed6d-753c-4377-8251-c59e5c1f5f84</errorID>
      <errorWord xmlns="http://schemas.wps.cn/vas-ai-hub/contract-review">支承</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支撑</item>
      </candidateList>
      <explain xmlns="http://schemas.wps.cn/vas-ai-hub/contract-review">〈动〉❶抵抗住压力使东西不倒塌：坑道里用柱子～着。❷勉强维持：他～着坐起来，头还在发晕｜一家的生活由他一人～。</explain>
      <paraID xmlns="http://schemas.wps.cn/vas-ai-hub/contract-review">7E81BFAE</paraID>
      <start xmlns="http://schemas.wps.cn/vas-ai-hub/contract-review">2</start>
      <end xmlns="http://schemas.wps.cn/vas-ai-hub/contract-review">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efbb29ee-1247-451b-9b57-4cab3faaa400</errorID>
      <errorWord xmlns="http://schemas.wps.cn/vas-ai-hub/contract-review">侧</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侧之</item>
      </candidateList>
      <explain xmlns="http://schemas.wps.cn/vas-ai-hub/contract-review"/>
      <paraID xmlns="http://schemas.wps.cn/vas-ai-hub/contract-review">7EB3AEA2</paraID>
      <start xmlns="http://schemas.wps.cn/vas-ai-hub/contract-review">44</start>
      <end xmlns="http://schemas.wps.cn/vas-ai-hub/contract-review">47</end>
      <status xmlns="http://schemas.wps.cn/vas-ai-hub/contract-review">modified</status>
      <modifiedWord xmlns="http://schemas.wps.cn/vas-ai-hub/contract-review">侧之</modifiedWord>
      <trackRevisions xmlns="http://schemas.wps.cn/vas-ai-hub/contract-review">true</trackRevisions>
    </reviewItem>
    <reviewItem xmlns="http://schemas.wps.cn/vas-ai-hub/contract-review">
      <errorID xmlns="http://schemas.wps.cn/vas-ai-hub/contract-review">5900fa4b-cac9-4133-ab98-19d5ca80072a</errorID>
      <errorWord xmlns="http://schemas.wps.cn/vas-ai-hub/contract-review">应按</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应</item>
      </candidateList>
      <explain xmlns="http://schemas.wps.cn/vas-ai-hub/contract-review"/>
      <paraID xmlns="http://schemas.wps.cn/vas-ai-hub/contract-review">7EB3AEA2</paraID>
      <start xmlns="http://schemas.wps.cn/vas-ai-hub/contract-review">71</start>
      <end xmlns="http://schemas.wps.cn/vas-ai-hub/contract-review">74</end>
      <status xmlns="http://schemas.wps.cn/vas-ai-hub/contract-review">modified</status>
      <modifiedWord xmlns="http://schemas.wps.cn/vas-ai-hub/contract-review">应</modifiedWord>
      <trackRevisions xmlns="http://schemas.wps.cn/vas-ai-hub/contract-review">true</trackRevisions>
    </reviewItem>
    <reviewItem xmlns="http://schemas.wps.cn/vas-ai-hub/contract-review">
      <errorID xmlns="http://schemas.wps.cn/vas-ai-hub/contract-review">8d6ecfd1-60d1-4db4-98bc-487cc46ff6cd</errorID>
      <errorWord xmlns="http://schemas.wps.cn/vas-ai-hub/contract-review">部</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部混</item>
      </candidateList>
      <explain xmlns="http://schemas.wps.cn/vas-ai-hub/contract-review"/>
      <paraID xmlns="http://schemas.wps.cn/vas-ai-hub/contract-review">59FA033D</paraID>
      <start xmlns="http://schemas.wps.cn/vas-ai-hub/contract-review">21</start>
      <end xmlns="http://schemas.wps.cn/vas-ai-hub/contract-review">24</end>
      <status xmlns="http://schemas.wps.cn/vas-ai-hub/contract-review">modified</status>
      <modifiedWord xmlns="http://schemas.wps.cn/vas-ai-hub/contract-review">部混</modifiedWord>
      <trackRevisions xmlns="http://schemas.wps.cn/vas-ai-hub/contract-review">true</trackRevisions>
    </reviewItem>
    <reviewItem xmlns="http://schemas.wps.cn/vas-ai-hub/contract-review">
      <errorID xmlns="http://schemas.wps.cn/vas-ai-hub/contract-review">eb027a37-cb58-4343-9d54-6f7b25db6758</errorID>
      <errorWord xmlns="http://schemas.wps.cn/vas-ai-hub/contract-review">方</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方性</item>
      </candidateList>
      <explain xmlns="http://schemas.wps.cn/vas-ai-hub/contract-review"/>
      <paraID xmlns="http://schemas.wps.cn/vas-ai-hub/contract-review">6A25709E</paraID>
      <start xmlns="http://schemas.wps.cn/vas-ai-hub/contract-review">165</start>
      <end xmlns="http://schemas.wps.cn/vas-ai-hub/contract-review">166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919276a6-7302-45eb-9e1c-7c8e4f4b63c1</errorID>
      <errorWord xmlns="http://schemas.wps.cn/vas-ai-hub/contract-review">铜制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铜质</item>
      </candidateList>
      <explain xmlns="http://schemas.wps.cn/vas-ai-hub/contract-review">存在发音相同字词的误用。</explain>
      <paraID xmlns="http://schemas.wps.cn/vas-ai-hub/contract-review">28D3B3B4</paraID>
      <start xmlns="http://schemas.wps.cn/vas-ai-hub/contract-review">43</start>
      <end xmlns="http://schemas.wps.cn/vas-ai-hub/contract-review">47</end>
      <status xmlns="http://schemas.wps.cn/vas-ai-hub/contract-review">modified</status>
      <modifiedWord xmlns="http://schemas.wps.cn/vas-ai-hub/contract-review">铜质</modifiedWord>
      <trackRevisions xmlns="http://schemas.wps.cn/vas-ai-hub/contract-review">true</trackRevisions>
    </reviewItem>
    <reviewItem xmlns="http://schemas.wps.cn/vas-ai-hub/contract-review">
      <errorID xmlns="http://schemas.wps.cn/vas-ai-hub/contract-review">3e239910-1d34-4a26-8247-f51fbcbbdcbb</errorID>
      <errorWord xmlns="http://schemas.wps.cn/vas-ai-hub/contract-review">晰</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晰地</item>
      </candidateList>
      <explain xmlns="http://schemas.wps.cn/vas-ai-hub/contract-review"/>
      <paraID xmlns="http://schemas.wps.cn/vas-ai-hub/contract-review">1AD7B948</paraID>
      <start xmlns="http://schemas.wps.cn/vas-ai-hub/contract-review">10</start>
      <end xmlns="http://schemas.wps.cn/vas-ai-hub/contract-review">13</end>
      <status xmlns="http://schemas.wps.cn/vas-ai-hub/contract-review">modified</status>
      <modifiedWord xmlns="http://schemas.wps.cn/vas-ai-hub/contract-review">晰地</modifiedWord>
      <trackRevisions xmlns="http://schemas.wps.cn/vas-ai-hub/contract-review">true</trackRevisions>
    </reviewItem>
    <reviewItem xmlns="http://schemas.wps.cn/vas-ai-hub/contract-review">
      <errorID xmlns="http://schemas.wps.cn/vas-ai-hub/contract-review">1fd47c3a-9824-41df-a588-e71771784da1</errorID>
      <errorWord xmlns="http://schemas.wps.cn/vas-ai-hub/contract-review">表示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标示</item>
      </candidateList>
      <explain xmlns="http://schemas.wps.cn/vas-ai-hub/contract-review"/>
      <paraID xmlns="http://schemas.wps.cn/vas-ai-hub/contract-review">1AD7B948</paraID>
      <start xmlns="http://schemas.wps.cn/vas-ai-hub/contract-review">13</start>
      <end xmlns="http://schemas.wps.cn/vas-ai-hub/contract-review">17</end>
      <status xmlns="http://schemas.wps.cn/vas-ai-hub/contract-review">modified</status>
      <modifiedWord xmlns="http://schemas.wps.cn/vas-ai-hub/contract-review">标示</modifiedWord>
      <trackRevisions xmlns="http://schemas.wps.cn/vas-ai-hub/contract-review">true</trackRevisions>
    </reviewItem>
    <reviewItem xmlns="http://schemas.wps.cn/vas-ai-hub/contract-review">
      <errorID xmlns="http://schemas.wps.cn/vas-ai-hub/contract-review">5d0a67ad-6e4a-49c5-94bd-42dd2055fd7c</errorID>
      <errorWord xmlns="http://schemas.wps.cn/vas-ai-hub/contract-review">方</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方性</item>
      </candidateList>
      <explain xmlns="http://schemas.wps.cn/vas-ai-hub/contract-review"/>
      <paraID xmlns="http://schemas.wps.cn/vas-ai-hub/contract-review">38FEDB7A</paraID>
      <start xmlns="http://schemas.wps.cn/vas-ai-hub/contract-review">138</start>
      <end xmlns="http://schemas.wps.cn/vas-ai-hub/contract-review">139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29e2033d-9bdf-42af-b97b-f08e651759cb</errorID>
      <errorWord xmlns="http://schemas.wps.cn/vas-ai-hub/contract-review">限制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限值</item>
      </candidateList>
      <explain xmlns="http://schemas.wps.cn/vas-ai-hub/contract-review"/>
      <paraID xmlns="http://schemas.wps.cn/vas-ai-hub/contract-review">78788336</paraID>
      <start xmlns="http://schemas.wps.cn/vas-ai-hub/contract-review">38</start>
      <end xmlns="http://schemas.wps.cn/vas-ai-hub/contract-review">42</end>
      <status xmlns="http://schemas.wps.cn/vas-ai-hub/contract-review">modified</status>
      <modifiedWord xmlns="http://schemas.wps.cn/vas-ai-hub/contract-review">限值</modifiedWord>
      <trackRevisions xmlns="http://schemas.wps.cn/vas-ai-hub/contract-review">true</trackRevisions>
    </reviewItem>
    <reviewItem xmlns="http://schemas.wps.cn/vas-ai-hub/contract-review">
      <errorID xmlns="http://schemas.wps.cn/vas-ai-hub/contract-review">21a75ff9-2c50-4cb0-a5c2-da06b8a78a82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25BB82C9</paraID>
      <start xmlns="http://schemas.wps.cn/vas-ai-hub/contract-review">1</start>
      <end xmlns="http://schemas.wps.cn/vas-ai-hub/contract-review">3</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477a292c-2195-4ca2-bc74-14ffcb661765</errorID>
      <errorWord xmlns="http://schemas.wps.cn/vas-ai-hub/contract-review">&gt;</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
      <paraID xmlns="http://schemas.wps.cn/vas-ai-hub/contract-review"> 6629A29</paraID>
      <start xmlns="http://schemas.wps.cn/vas-ai-hub/contract-review">0</start>
      <end xmlns="http://schemas.wps.cn/vas-ai-hub/contract-review">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d8cc398f-13be-4ffe-87cd-5bf107f65f78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37C7F407</paraID>
      <start xmlns="http://schemas.wps.cn/vas-ai-hub/contract-review">4</start>
      <end xmlns="http://schemas.wps.cn/vas-ai-hub/contract-review">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9dd64884-4d5f-4102-8657-38f42fe9457a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37C7F407</paraID>
      <start xmlns="http://schemas.wps.cn/vas-ai-hub/contract-review">7</start>
      <end xmlns="http://schemas.wps.cn/vas-ai-hub/contract-review">8</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42297fef-4bc7-49bf-88c1-bca6ab59ad3d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417D96D6</paraID>
      <start xmlns="http://schemas.wps.cn/vas-ai-hub/contract-review">1</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c0fd34b5-27ef-4326-94cd-853b60f3c2d7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255A2F53</paraID>
      <start xmlns="http://schemas.wps.cn/vas-ai-hub/contract-review">2</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178822c6-7824-4fe4-a309-fb8a08dbbd10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55BBE9C7</paraID>
      <start xmlns="http://schemas.wps.cn/vas-ai-hub/contract-review">2</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cc5134c0-9594-44f5-9182-fdd35b6af55c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55967C4A</paraID>
      <start xmlns="http://schemas.wps.cn/vas-ai-hub/contract-review">2</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e882b530-5ea1-41ec-9931-cbc10c18e25d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77A7E11C</paraID>
      <start xmlns="http://schemas.wps.cn/vas-ai-hub/contract-review">2</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b0dc527f-cb01-4ba6-8cd2-d269ae8564e6</errorID>
      <errorWord xmlns="http://schemas.wps.cn/vas-ai-hub/contract-review">上作</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上做</item>
      </candidateList>
      <explain xmlns="http://schemas.wps.cn/vas-ai-hub/contract-review"/>
      <paraID xmlns="http://schemas.wps.cn/vas-ai-hub/contract-review"> 844A5AD</paraID>
      <start xmlns="http://schemas.wps.cn/vas-ai-hub/contract-review">21</start>
      <end xmlns="http://schemas.wps.cn/vas-ai-hub/contract-review">23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33bc0544-b15a-403c-ab59-d48d4f52e05c</errorID>
      <errorWord xmlns="http://schemas.wps.cn/vas-ai-hub/contract-review">经</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经过</item>
      </candidateList>
      <explain xmlns="http://schemas.wps.cn/vas-ai-hub/contract-review">❶〈动〉通过（处所、时间、动作等）：从北京坐火车到广州要～武汉｜屋子～打扫，干净多了｜这件事情是～领导上缜密考虑过的。❷〈名〉过程；经历▲：厂长向来宾报告建厂～｜说说你探险的～。</explain>
      <paraID xmlns="http://schemas.wps.cn/vas-ai-hub/contract-review">67FB6904</paraID>
      <start xmlns="http://schemas.wps.cn/vas-ai-hub/contract-review">48</start>
      <end xmlns="http://schemas.wps.cn/vas-ai-hub/contract-review">51</end>
      <status xmlns="http://schemas.wps.cn/vas-ai-hub/contract-review">modified</status>
      <modifiedWord xmlns="http://schemas.wps.cn/vas-ai-hub/contract-review">经过</modifiedWord>
      <trackRevisions xmlns="http://schemas.wps.cn/vas-ai-hub/contract-review">true</trackRevisions>
    </reviewItem>
    <reviewItem xmlns="http://schemas.wps.cn/vas-ai-hub/contract-review">
      <errorID xmlns="http://schemas.wps.cn/vas-ai-hub/contract-review">23c2d812-92ac-4806-be30-9b5859a055ac</errorID>
      <errorWord xmlns="http://schemas.wps.cn/vas-ai-hub/contract-review">出场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出厂</item>
      </candidateList>
      <explain xmlns="http://schemas.wps.cn/vas-ai-hub/contract-review"/>
      <paraID xmlns="http://schemas.wps.cn/vas-ai-hub/contract-review">3DF3AF5F</paraID>
      <start xmlns="http://schemas.wps.cn/vas-ai-hub/contract-review">39</start>
      <end xmlns="http://schemas.wps.cn/vas-ai-hub/contract-review">43</end>
      <status xmlns="http://schemas.wps.cn/vas-ai-hub/contract-review">modified</status>
      <modifiedWord xmlns="http://schemas.wps.cn/vas-ai-hub/contract-review">出厂</modifiedWord>
      <trackRevisions xmlns="http://schemas.wps.cn/vas-ai-hub/contract-review">true</trackRevisions>
    </reviewItem>
    <reviewItem xmlns="http://schemas.wps.cn/vas-ai-hub/contract-review">
      <errorID xmlns="http://schemas.wps.cn/vas-ai-hub/contract-review">a43768a1-d7a0-42bd-91c6-e22ef3b80329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6926B46F</paraID>
      <start xmlns="http://schemas.wps.cn/vas-ai-hub/contract-review">4</start>
      <end xmlns="http://schemas.wps.cn/vas-ai-hub/contract-review">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31a2e8f7-4696-4e99-89ba-e4ae36fb3ebc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6926B46F</paraID>
      <start xmlns="http://schemas.wps.cn/vas-ai-hub/contract-review">7</start>
      <end xmlns="http://schemas.wps.cn/vas-ai-hub/contract-review">8</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2ab7c774-9b9f-4db8-afb6-d698736ee335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724BDDFD</paraID>
      <start xmlns="http://schemas.wps.cn/vas-ai-hub/contract-review">2</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9bf676a8-90b9-41f9-8c4c-bf6084209a9c</errorID>
      <errorWord xmlns="http://schemas.wps.cn/vas-ai-hub/contract-review">&gt;</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
      <paraID xmlns="http://schemas.wps.cn/vas-ai-hub/contract-review">54B71908</paraID>
      <start xmlns="http://schemas.wps.cn/vas-ai-hub/contract-review">0</start>
      <end xmlns="http://schemas.wps.cn/vas-ai-hub/contract-review">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7311a303-ee45-4547-9f55-d6d76ddf7327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explain xmlns="http://schemas.wps.cn/vas-ai-hub/contract-review">文本全半角错误。</explain>
      <paraID xmlns="http://schemas.wps.cn/vas-ai-hub/contract-review">2E447810</paraID>
      <start xmlns="http://schemas.wps.cn/vas-ai-hub/contract-review">6</start>
      <end xmlns="http://schemas.wps.cn/vas-ai-hub/contract-review">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407c9f78-ec4d-41dc-9b86-2232aece0155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explain xmlns="http://schemas.wps.cn/vas-ai-hub/contract-review">文本全半角错误。</explain>
      <paraID xmlns="http://schemas.wps.cn/vas-ai-hub/contract-review">65E50093</paraID>
      <start xmlns="http://schemas.wps.cn/vas-ai-hub/contract-review">2</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4bb235cd-ebaa-4034-abe5-7d8a75081f66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explain xmlns="http://schemas.wps.cn/vas-ai-hub/contract-review">文本全半角错误。</explain>
      <paraID xmlns="http://schemas.wps.cn/vas-ai-hub/contract-review">65E50093</paraID>
      <start xmlns="http://schemas.wps.cn/vas-ai-hub/contract-review">6</start>
      <end xmlns="http://schemas.wps.cn/vas-ai-hub/contract-review">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7344272a-62d5-4901-855d-637629c33752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explain xmlns="http://schemas.wps.cn/vas-ai-hub/contract-review">文本全半角错误。</explain>
      <paraID xmlns="http://schemas.wps.cn/vas-ai-hub/contract-review">65E50093</paraID>
      <start xmlns="http://schemas.wps.cn/vas-ai-hub/contract-review">10</start>
      <end xmlns="http://schemas.wps.cn/vas-ai-hub/contract-review">11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60e666f8-bcbb-4432-a547-9adacfef8af6</errorID>
      <errorWord xmlns="http://schemas.wps.cn/vas-ai-hub/contract-review">&gt;</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
      <paraID xmlns="http://schemas.wps.cn/vas-ai-hub/contract-review"> F853EC5</paraID>
      <start xmlns="http://schemas.wps.cn/vas-ai-hub/contract-review">0</start>
      <end xmlns="http://schemas.wps.cn/vas-ai-hub/contract-review">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e7f62671-e9bf-4a30-a10f-c823e8cfafce</errorID>
      <errorWord xmlns="http://schemas.wps.cn/vas-ai-hub/contract-review">&gt;</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
      <paraID xmlns="http://schemas.wps.cn/vas-ai-hub/contract-review">6235D192</paraID>
      <start xmlns="http://schemas.wps.cn/vas-ai-hub/contract-review">0</start>
      <end xmlns="http://schemas.wps.cn/vas-ai-hub/contract-review">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64277731-8313-4874-a922-4458dddd46b4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5708CB4B</paraID>
      <start xmlns="http://schemas.wps.cn/vas-ai-hub/contract-review">4</start>
      <end xmlns="http://schemas.wps.cn/vas-ai-hub/contract-review">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27b4eb49-b9fb-4d85-897e-a8e26316d065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5708CB4B</paraID>
      <start xmlns="http://schemas.wps.cn/vas-ai-hub/contract-review">7</start>
      <end xmlns="http://schemas.wps.cn/vas-ai-hub/contract-review">8</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d5a9a20a-58b6-4fbf-bb86-7306f4ce0676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6A352734</paraID>
      <start xmlns="http://schemas.wps.cn/vas-ai-hub/contract-review">2</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7a6c402c-9b4c-4a39-b708-9c5de7f02130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70F15AD6</paraID>
      <start xmlns="http://schemas.wps.cn/vas-ai-hub/contract-review">1</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07cbe543-cef5-42f1-8e30-7c071b635073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7922D64</paraID>
      <start xmlns="http://schemas.wps.cn/vas-ai-hub/contract-review">3</start>
      <end xmlns="http://schemas.wps.cn/vas-ai-hub/contract-review">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e455d372-ac0f-46ce-9126-65921aced610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2D494124</paraID>
      <start xmlns="http://schemas.wps.cn/vas-ai-hub/contract-review">1</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bfd67fe7-4445-43ec-ba27-538b2a71f0c6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4CDEE227</paraID>
      <start xmlns="http://schemas.wps.cn/vas-ai-hub/contract-review">1</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1dc0e093-84d0-4778-85ee-398c8e6f42eb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30EE2A57</paraID>
      <start xmlns="http://schemas.wps.cn/vas-ai-hub/contract-review">2</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ba49b2d7-ec86-4431-b2ed-c58ae7fe3bb0</errorID>
      <errorWord xmlns="http://schemas.wps.cn/vas-ai-hub/contract-review">粘结</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黏结</item>
      </candidateList>
      <explain xmlns="http://schemas.wps.cn/vas-ai-hub/contract-review">存在发音相同字词的误用。</explain>
      <paraID xmlns="http://schemas.wps.cn/vas-ai-hub/contract-review">3AEDA77B</paraID>
      <start xmlns="http://schemas.wps.cn/vas-ai-hub/contract-review">19</start>
      <end xmlns="http://schemas.wps.cn/vas-ai-hub/contract-review">21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59df69dc-9e41-4f20-913d-2aea4e3d985e</errorID>
      <errorWord xmlns="http://schemas.wps.cn/vas-ai-hub/contract-review">粘结</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黏结</item>
      </candidateList>
      <explain xmlns="http://schemas.wps.cn/vas-ai-hub/contract-review">存在发音相同字词的误用。</explain>
      <paraID xmlns="http://schemas.wps.cn/vas-ai-hub/contract-review">3AEDA77B</paraID>
      <start xmlns="http://schemas.wps.cn/vas-ai-hub/contract-review">40</start>
      <end xmlns="http://schemas.wps.cn/vas-ai-hub/contract-review">42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68d1d290-d7f0-4611-8124-7e5910df2a47</errorID>
      <errorWord xmlns="http://schemas.wps.cn/vas-ai-hub/contract-review">裝</errorWord>
      <group xmlns="http://schemas.wps.cn/vas-ai-hub/contract-review">L1_Word</group>
      <groupName xmlns="http://schemas.wps.cn/vas-ai-hub/contract-review">字词问题</groupName>
      <ability xmlns="http://schemas.wps.cn/vas-ai-hub/contract-review">L2_Fanti</ability>
      <abilityName xmlns="http://schemas.wps.cn/vas-ai-hub/contract-review">繁转简</abilityName>
      <candidateList xmlns="http://schemas.wps.cn/vas-ai-hub/contract-review">
        <item xmlns="http://schemas.wps.cn/vas-ai-hub/contract-review">装</item>
      </candidateList>
      <explain xmlns="http://schemas.wps.cn/vas-ai-hub/contract-review"/>
      <paraID xmlns="http://schemas.wps.cn/vas-ai-hub/contract-review"> 2FE7E4A</paraID>
      <start xmlns="http://schemas.wps.cn/vas-ai-hub/contract-review">13</start>
      <end xmlns="http://schemas.wps.cn/vas-ai-hub/contract-review">14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7994665d-28eb-46ab-8154-4fa06fd4f58f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63AFFD1D</paraID>
      <start xmlns="http://schemas.wps.cn/vas-ai-hub/contract-review">0</start>
      <end xmlns="http://schemas.wps.cn/vas-ai-hub/contract-review">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c86b4bcb-88d3-45ec-bfed-9f8a00601a44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63AFFD1D</paraID>
      <start xmlns="http://schemas.wps.cn/vas-ai-hub/contract-review">3</start>
      <end xmlns="http://schemas.wps.cn/vas-ai-hub/contract-review">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7315e033-38dd-4946-907d-884c43970ac7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6421BDE</paraID>
      <start xmlns="http://schemas.wps.cn/vas-ai-hub/contract-review">3</start>
      <end xmlns="http://schemas.wps.cn/vas-ai-hub/contract-review">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b50665bf-c5ec-467b-9bf6-9e0b73f1e6ee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2C4EC1F4</paraID>
      <start xmlns="http://schemas.wps.cn/vas-ai-hub/contract-review">3</start>
      <end xmlns="http://schemas.wps.cn/vas-ai-hub/contract-review">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f864d363-85ce-4fa3-827a-6243876a02fb</errorID>
      <errorWord xmlns="http://schemas.wps.cn/vas-ai-hub/contract-review">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采</item>
      </candidateList>
      <explain xmlns="http://schemas.wps.cn/vas-ai-hub/contract-review"/>
      <paraID xmlns="http://schemas.wps.cn/vas-ai-hub/contract-review">5AAA6ED2</paraID>
      <start xmlns="http://schemas.wps.cn/vas-ai-hub/contract-review">62</start>
      <end xmlns="http://schemas.wps.cn/vas-ai-hub/contract-review">63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7b161192-6d0b-43bf-9c2d-8362bfce32e1</errorID>
      <errorWord xmlns="http://schemas.wps.cn/vas-ai-hub/contract-review">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采</item>
      </candidateList>
      <explain xmlns="http://schemas.wps.cn/vas-ai-hub/contract-review"/>
      <paraID xmlns="http://schemas.wps.cn/vas-ai-hub/contract-review">1DADB1CB</paraID>
      <start xmlns="http://schemas.wps.cn/vas-ai-hub/contract-review">9</start>
      <end xmlns="http://schemas.wps.cn/vas-ai-hub/contract-review">10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923d035e-21e4-4d73-b315-cdd21eaa9f3b</errorID>
      <errorWord xmlns="http://schemas.wps.cn/vas-ai-hub/contract-review">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采</item>
      </candidateList>
      <explain xmlns="http://schemas.wps.cn/vas-ai-hub/contract-review"/>
      <paraID xmlns="http://schemas.wps.cn/vas-ai-hub/contract-review">30EE5C63</paraID>
      <start xmlns="http://schemas.wps.cn/vas-ai-hub/contract-review">14</start>
      <end xmlns="http://schemas.wps.cn/vas-ai-hub/contract-review">15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3b0db450-d00d-4a38-9c34-898d608c3497</errorID>
      <errorWord xmlns="http://schemas.wps.cn/vas-ai-hub/contract-review">成</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成后</item>
      </candidateList>
      <explain xmlns="http://schemas.wps.cn/vas-ai-hub/contract-review"/>
      <paraID xmlns="http://schemas.wps.cn/vas-ai-hub/contract-review">447B8B92</paraID>
      <start xmlns="http://schemas.wps.cn/vas-ai-hub/contract-review">44</start>
      <end xmlns="http://schemas.wps.cn/vas-ai-hub/contract-review">47</end>
      <status xmlns="http://schemas.wps.cn/vas-ai-hub/contract-review">modified</status>
      <modifiedWord xmlns="http://schemas.wps.cn/vas-ai-hub/contract-review">成后</modifiedWord>
      <trackRevisions xmlns="http://schemas.wps.cn/vas-ai-hub/contract-review">true</trackRevisions>
    </reviewItem>
    <reviewItem xmlns="http://schemas.wps.cn/vas-ai-hub/contract-review">
      <errorID xmlns="http://schemas.wps.cn/vas-ai-hub/contract-review">80d5654d-110d-432a-9586-73757473604a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7D1A526C</paraID>
      <start xmlns="http://schemas.wps.cn/vas-ai-hub/contract-review">4</start>
      <end xmlns="http://schemas.wps.cn/vas-ai-hub/contract-review">6</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13b6c515-1f0e-407b-bf86-e3ab8928b7a3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72303601</paraID>
      <start xmlns="http://schemas.wps.cn/vas-ai-hub/contract-review">4</start>
      <end xmlns="http://schemas.wps.cn/vas-ai-hub/contract-review">6</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c5d51318-7f6f-47cf-b54b-aa3249851e71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771CBEF0</paraID>
      <start xmlns="http://schemas.wps.cn/vas-ai-hub/contract-review">4</start>
      <end xmlns="http://schemas.wps.cn/vas-ai-hub/contract-review">6</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73df9de0-64cb-4d0b-acc8-fd4fc68d2fba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99C204A</paraID>
      <start xmlns="http://schemas.wps.cn/vas-ai-hub/contract-review">4</start>
      <end xmlns="http://schemas.wps.cn/vas-ai-hub/contract-review">6</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b418f44d-cb24-4f38-a29f-88242f1f1f74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58B06D79</paraID>
      <start xmlns="http://schemas.wps.cn/vas-ai-hub/contract-review">4</start>
      <end xmlns="http://schemas.wps.cn/vas-ai-hub/contract-review">6</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15e4b6c2-fc9f-48d4-b7d7-6f5ac10c012d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5BE51C30</paraID>
      <start xmlns="http://schemas.wps.cn/vas-ai-hub/contract-review">4</start>
      <end xmlns="http://schemas.wps.cn/vas-ai-hub/contract-review">6</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4d31ccb2-fc46-4d78-b3a4-207068c3f5ca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6A3B3BC2</paraID>
      <start xmlns="http://schemas.wps.cn/vas-ai-hub/contract-review">4</start>
      <end xmlns="http://schemas.wps.cn/vas-ai-hub/contract-review">6</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d2658d9c-0a6d-4387-aba2-e6bee59258de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662CABCB</paraID>
      <start xmlns="http://schemas.wps.cn/vas-ai-hub/contract-review">4</start>
      <end xmlns="http://schemas.wps.cn/vas-ai-hub/contract-review">6</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5525d85d-b0d5-4193-a8fd-d7cef72a536a</errorID>
      <errorWord xmlns="http://schemas.wps.cn/vas-ai-hub/contract-review">体</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体检</item>
      </candidateList>
      <explain xmlns="http://schemas.wps.cn/vas-ai-hub/contract-review"/>
      <paraID xmlns="http://schemas.wps.cn/vas-ai-hub/contract-review">198CBB60</paraID>
      <start xmlns="http://schemas.wps.cn/vas-ai-hub/contract-review">30</start>
      <end xmlns="http://schemas.wps.cn/vas-ai-hub/contract-review">33</end>
      <status xmlns="http://schemas.wps.cn/vas-ai-hub/contract-review">modified</status>
      <modifiedWord xmlns="http://schemas.wps.cn/vas-ai-hub/contract-review">体检</modifiedWord>
      <trackRevisions xmlns="http://schemas.wps.cn/vas-ai-hub/contract-review">true</trackRevisions>
    </reviewItem>
    <reviewItem xmlns="http://schemas.wps.cn/vas-ai-hub/contract-review">
      <errorID xmlns="http://schemas.wps.cn/vas-ai-hub/contract-review">7a078274-b014-46c3-bf0f-91d06064f326</errorID>
      <errorWord xmlns="http://schemas.wps.cn/vas-ai-hub/contract-review">块个</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块</item>
      </candidateList>
      <explain xmlns="http://schemas.wps.cn/vas-ai-hub/contract-review"/>
      <paraID xmlns="http://schemas.wps.cn/vas-ai-hub/contract-review">3821B7B7</paraID>
      <start xmlns="http://schemas.wps.cn/vas-ai-hub/contract-review">79</start>
      <end xmlns="http://schemas.wps.cn/vas-ai-hub/contract-review">81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e4ad93da-50c5-4887-a801-503b5fa4c69b</errorID>
      <errorWord xmlns="http://schemas.wps.cn/vas-ai-hub/contract-review">并宜</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并</item>
      </candidateList>
      <explain xmlns="http://schemas.wps.cn/vas-ai-hub/contract-review">（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 xmlns="http://schemas.wps.cn/vas-ai-hub/contract-review">68210157</paraID>
      <start xmlns="http://schemas.wps.cn/vas-ai-hub/contract-review">53</start>
      <end xmlns="http://schemas.wps.cn/vas-ai-hub/contract-review">55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3a8486ad-aec3-49c4-80ec-2044946b5b68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7232C717</paraID>
      <start xmlns="http://schemas.wps.cn/vas-ai-hub/contract-review">30</start>
      <end xmlns="http://schemas.wps.cn/vas-ai-hub/contract-review">32</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1612235d-8f5c-4cad-aad2-cdb55ac2f9f5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5CA7613C</paraID>
      <start xmlns="http://schemas.wps.cn/vas-ai-hub/contract-review">32</start>
      <end xmlns="http://schemas.wps.cn/vas-ai-hub/contract-review">34</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d796b5ec-6241-408c-aead-620378f21f23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2E3C98CB</paraID>
      <start xmlns="http://schemas.wps.cn/vas-ai-hub/contract-review">28</start>
      <end xmlns="http://schemas.wps.cn/vas-ai-hub/contract-review">30</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79d62bd3-3c03-430e-9b49-87ceae901dbd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6786AD2E</paraID>
      <start xmlns="http://schemas.wps.cn/vas-ai-hub/contract-review">13</start>
      <end xmlns="http://schemas.wps.cn/vas-ai-hub/contract-review">15</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85bd3b47-2f80-4241-8827-6d18d0a0d38e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16DD2118</paraID>
      <start xmlns="http://schemas.wps.cn/vas-ai-hub/contract-review">62</start>
      <end xmlns="http://schemas.wps.cn/vas-ai-hub/contract-review">64</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4d89bcd3-8b8e-4f7a-924c-fa88424b8f2a</errorID>
      <errorWord xmlns="http://schemas.wps.cn/vas-ai-hub/contract-review">做</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作</item>
      </candidateList>
      <explain xmlns="http://schemas.wps.cn/vas-ai-hub/contract-review">存在发音相同字词的误用。</explain>
      <paraID xmlns="http://schemas.wps.cn/vas-ai-hub/contract-review">16DD2118</paraID>
      <start xmlns="http://schemas.wps.cn/vas-ai-hub/contract-review">80</start>
      <end xmlns="http://schemas.wps.cn/vas-ai-hub/contract-review">82</end>
      <status xmlns="http://schemas.wps.cn/vas-ai-hub/contract-review">modified</status>
      <modifiedWord xmlns="http://schemas.wps.cn/vas-ai-hub/contract-review">作</modifiedWord>
      <trackRevisions xmlns="http://schemas.wps.cn/vas-ai-hub/contract-review">true</trackRevisions>
    </reviewItem>
    <reviewItem xmlns="http://schemas.wps.cn/vas-ai-hub/contract-review">
      <errorID xmlns="http://schemas.wps.cn/vas-ai-hub/contract-review">7764bd22-7dde-4781-aa2e-84be3de25d2d</errorID>
      <errorWord xmlns="http://schemas.wps.cn/vas-ai-hub/contract-review">标示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标识</item>
      </candidateList>
      <explain xmlns="http://schemas.wps.cn/vas-ai-hub/contract-review">存在发音相同字词的误用。</explain>
      <paraID xmlns="http://schemas.wps.cn/vas-ai-hub/contract-review">7031651A</paraID>
      <start xmlns="http://schemas.wps.cn/vas-ai-hub/contract-review">22</start>
      <end xmlns="http://schemas.wps.cn/vas-ai-hub/contract-review">26</end>
      <status xmlns="http://schemas.wps.cn/vas-ai-hub/contract-review">modified</status>
      <modifiedWord xmlns="http://schemas.wps.cn/vas-ai-hub/contract-review">标识</modifiedWord>
      <trackRevisions xmlns="http://schemas.wps.cn/vas-ai-hub/contract-review">true</trackRevisions>
    </reviewItem>
    <reviewItem xmlns="http://schemas.wps.cn/vas-ai-hub/contract-review">
      <errorID xmlns="http://schemas.wps.cn/vas-ai-hub/contract-review">7ddfc3bb-a96d-4be4-84a6-0c376a7ca995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7031651A</paraID>
      <start xmlns="http://schemas.wps.cn/vas-ai-hub/contract-review">63</start>
      <end xmlns="http://schemas.wps.cn/vas-ai-hub/contract-review">65</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58a50c0a-d816-4826-ab40-19af5c0f7f21</errorID>
      <errorWord xmlns="http://schemas.wps.cn/vas-ai-hub/contract-review">应宜</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应</item>
      </candidateList>
      <explain xmlns="http://schemas.wps.cn/vas-ai-hub/contract-review"/>
      <paraID xmlns="http://schemas.wps.cn/vas-ai-hub/contract-review">4D7D5B8D</paraID>
      <start xmlns="http://schemas.wps.cn/vas-ai-hub/contract-review">46</start>
      <end xmlns="http://schemas.wps.cn/vas-ai-hub/contract-review">49</end>
      <status xmlns="http://schemas.wps.cn/vas-ai-hub/contract-review">modified</status>
      <modifiedWord xmlns="http://schemas.wps.cn/vas-ai-hub/contract-review">应</modifiedWord>
      <trackRevisions xmlns="http://schemas.wps.cn/vas-ai-hub/contract-review">true</trackRevisions>
    </reviewItem>
    <reviewItem xmlns="http://schemas.wps.cn/vas-ai-hub/contract-review">
      <errorID xmlns="http://schemas.wps.cn/vas-ai-hub/contract-review">d01761de-207c-470c-9526-56a34815b667</errorID>
      <errorWord xmlns="http://schemas.wps.cn/vas-ai-hub/contract-review">等的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等</item>
      </candidateList>
      <explain xmlns="http://schemas.wps.cn/vas-ai-hub/contract-review">〈助〉❶〈书〉用在人称代词或指人的名词后面，表示复数：我～｜彼～。❷表示列举未尽（可以叠用）：北京、天津～地｜纸张文具～～。❸列举后煞尾：长江、黄河、黑龙江、珠江～四大河流。</explain>
      <paraID xmlns="http://schemas.wps.cn/vas-ai-hub/contract-review">5A181497</paraID>
      <start xmlns="http://schemas.wps.cn/vas-ai-hub/contract-review">26</start>
      <end xmlns="http://schemas.wps.cn/vas-ai-hub/contract-review">29</end>
      <status xmlns="http://schemas.wps.cn/vas-ai-hub/contract-review">modified</status>
      <modifiedWord xmlns="http://schemas.wps.cn/vas-ai-hub/contract-review">等</modifiedWord>
      <trackRevisions xmlns="http://schemas.wps.cn/vas-ai-hub/contract-review">true</trackRevisions>
    </reviewItem>
    <reviewItem xmlns="http://schemas.wps.cn/vas-ai-hub/contract-review">
      <errorID xmlns="http://schemas.wps.cn/vas-ai-hub/contract-review">68cd6c1c-5b5d-43a0-ac69-9d56a552d32a</errorID>
      <errorWord xmlns="http://schemas.wps.cn/vas-ai-hub/contract-review">&gt;</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
      <paraID xmlns="http://schemas.wps.cn/vas-ai-hub/contract-review">40E3CA36</paraID>
      <start xmlns="http://schemas.wps.cn/vas-ai-hub/contract-review">0</start>
      <end xmlns="http://schemas.wps.cn/vas-ai-hub/contract-review">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223dbef0-45d7-4aa1-91bd-edac1d4dfa68</errorID>
      <errorWord xmlns="http://schemas.wps.cn/vas-ai-hub/contract-review">&gt;</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
      <paraID xmlns="http://schemas.wps.cn/vas-ai-hub/contract-review">35DC002A</paraID>
      <start xmlns="http://schemas.wps.cn/vas-ai-hub/contract-review">0</start>
      <end xmlns="http://schemas.wps.cn/vas-ai-hub/contract-review">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8dcb3b92-531e-4fc8-b9e9-ced275c254f4</errorID>
      <errorWord xmlns="http://schemas.wps.cn/vas-ai-hub/contract-review">&gt;</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
      <paraID xmlns="http://schemas.wps.cn/vas-ai-hub/contract-review">50E196F8</paraID>
      <start xmlns="http://schemas.wps.cn/vas-ai-hub/contract-review">0</start>
      <end xmlns="http://schemas.wps.cn/vas-ai-hub/contract-review">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1619aef3-d52c-4722-8671-8f3f021d3da8</errorID>
      <errorWord xmlns="http://schemas.wps.cn/vas-ai-hub/contract-review">&gt;</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
      <paraID xmlns="http://schemas.wps.cn/vas-ai-hub/contract-review">32FA2A84</paraID>
      <start xmlns="http://schemas.wps.cn/vas-ai-hub/contract-review">0</start>
      <end xmlns="http://schemas.wps.cn/vas-ai-hub/contract-review">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95ec46e6-93f2-472e-952a-34fc99746aa2</errorID>
      <errorWord xmlns="http://schemas.wps.cn/vas-ai-hub/contract-review">&gt;</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
      <paraID xmlns="http://schemas.wps.cn/vas-ai-hub/contract-review">2CD8281E</paraID>
      <start xmlns="http://schemas.wps.cn/vas-ai-hub/contract-review">0</start>
      <end xmlns="http://schemas.wps.cn/vas-ai-hub/contract-review">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eb925d74-660a-4171-b8c9-dcb92c4f9a28</errorID>
      <errorWord xmlns="http://schemas.wps.cn/vas-ai-hub/contract-review">&gt;</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
      <paraID xmlns="http://schemas.wps.cn/vas-ai-hub/contract-review"> 2A9745E</paraID>
      <start xmlns="http://schemas.wps.cn/vas-ai-hub/contract-review">0</start>
      <end xmlns="http://schemas.wps.cn/vas-ai-hub/contract-review">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d54b735f-ce55-4458-85fc-98946bfd121e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2C2FFC35</paraID>
      <start xmlns="http://schemas.wps.cn/vas-ai-hub/contract-review">1</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8fec0426-be4b-403a-bdef-936bfbfa5da3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289F07AB</paraID>
      <start xmlns="http://schemas.wps.cn/vas-ai-hub/contract-review">1</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0b66369a-c812-4bb9-a9a2-8857ece9cbb4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3900AEAF</paraID>
      <start xmlns="http://schemas.wps.cn/vas-ai-hub/contract-review">1</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386965f3-a610-4fd9-ade4-d8781f9747b7</errorID>
      <errorWord xmlns="http://schemas.wps.cn/vas-ai-hub/contract-review">外漏</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外露</item>
      </candidateList>
      <explain xmlns="http://schemas.wps.cn/vas-ai-hub/contract-review">存在发音相同字词的误用。</explain>
      <paraID xmlns="http://schemas.wps.cn/vas-ai-hub/contract-review"> 3B03728</paraID>
      <start xmlns="http://schemas.wps.cn/vas-ai-hub/contract-review">0</start>
      <end xmlns="http://schemas.wps.cn/vas-ai-hub/contract-review">4</end>
      <status xmlns="http://schemas.wps.cn/vas-ai-hub/contract-review">modified</status>
      <modifiedWord xmlns="http://schemas.wps.cn/vas-ai-hub/contract-review">外露</modifiedWord>
      <trackRevisions xmlns="http://schemas.wps.cn/vas-ai-hub/contract-review">true</trackRevisions>
    </reviewItem>
    <reviewItem xmlns="http://schemas.wps.cn/vas-ai-hub/contract-review">
      <errorID xmlns="http://schemas.wps.cn/vas-ai-hub/contract-review">8df93b28-eaaa-4d7d-9cba-bcacba508ae7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A8C8B8D</paraID>
      <start xmlns="http://schemas.wps.cn/vas-ai-hub/contract-review">3</start>
      <end xmlns="http://schemas.wps.cn/vas-ai-hub/contract-review">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4263d63c-e909-45bd-8626-b2362c80b22c</errorID>
      <errorWord xmlns="http://schemas.wps.cn/vas-ai-hub/contract-review">外漏</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外露</item>
      </candidateList>
      <explain xmlns="http://schemas.wps.cn/vas-ai-hub/contract-review">存在发音相同字词的误用。</explain>
      <paraID xmlns="http://schemas.wps.cn/vas-ai-hub/contract-review">7198C96B</paraID>
      <start xmlns="http://schemas.wps.cn/vas-ai-hub/contract-review">0</start>
      <end xmlns="http://schemas.wps.cn/vas-ai-hub/contract-review">4</end>
      <status xmlns="http://schemas.wps.cn/vas-ai-hub/contract-review">modified</status>
      <modifiedWord xmlns="http://schemas.wps.cn/vas-ai-hub/contract-review">外露</modifiedWord>
      <trackRevisions xmlns="http://schemas.wps.cn/vas-ai-hub/contract-review">true</trackRevisions>
    </reviewItem>
    <reviewItem xmlns="http://schemas.wps.cn/vas-ai-hub/contract-review">
      <errorID xmlns="http://schemas.wps.cn/vas-ai-hub/contract-review">e4c02641-e4bb-4c77-8a7e-a31d187e7ab0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4FAF8C01</paraID>
      <start xmlns="http://schemas.wps.cn/vas-ai-hub/contract-review">1</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2324d543-a66e-45e8-8bf8-79b32106db74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357948DA</paraID>
      <start xmlns="http://schemas.wps.cn/vas-ai-hub/contract-review">2</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33911991-1bfb-4b68-88d9-66534ee77e07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157999D0</paraID>
      <start xmlns="http://schemas.wps.cn/vas-ai-hub/contract-review">2</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d0febb20-d76d-46f0-9732-db83749b5943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4568431C</paraID>
      <start xmlns="http://schemas.wps.cn/vas-ai-hub/contract-review">2</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2bfe3958-0a4a-4c1c-a214-fd685fc28523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110A876B</paraID>
      <start xmlns="http://schemas.wps.cn/vas-ai-hub/contract-review">2</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73db1fbc-90d5-4a56-b579-106a0421d70f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13BCF8AF</paraID>
      <start xmlns="http://schemas.wps.cn/vas-ai-hub/contract-review">27</start>
      <end xmlns="http://schemas.wps.cn/vas-ai-hub/contract-review">28</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05aa5d79-2ebe-4983-996b-039c594ab76f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13BCF8AF</paraID>
      <start xmlns="http://schemas.wps.cn/vas-ai-hub/contract-review">40</start>
      <end xmlns="http://schemas.wps.cn/vas-ai-hub/contract-review">41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b2c4fb52-e4af-45ef-9a65-9b341ea67894</errorID>
      <errorWord xmlns="http://schemas.wps.cn/vas-ai-hub/contract-review">粘结</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黏结</item>
      </candidateList>
      <explain xmlns="http://schemas.wps.cn/vas-ai-hub/contract-review">存在发音相同字词的误用。</explain>
      <paraID xmlns="http://schemas.wps.cn/vas-ai-hub/contract-review"> 8478834</paraID>
      <start xmlns="http://schemas.wps.cn/vas-ai-hub/contract-review">8</start>
      <end xmlns="http://schemas.wps.cn/vas-ai-hub/contract-review">10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7803e280-4ca5-4813-b115-f66acd571108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5442CE4A</paraID>
      <start xmlns="http://schemas.wps.cn/vas-ai-hub/contract-review">4</start>
      <end xmlns="http://schemas.wps.cn/vas-ai-hub/contract-review">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d2ec4ac8-6a0e-49b3-ba1b-e9a755c11576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5442CE4A</paraID>
      <start xmlns="http://schemas.wps.cn/vas-ai-hub/contract-review">7</start>
      <end xmlns="http://schemas.wps.cn/vas-ai-hub/contract-review">9</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796ea00c-898e-4467-a113-d25ea67765be</errorID>
      <errorWord xmlns="http://schemas.wps.cn/vas-ai-hub/contract-review">工业物联网</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工业互联网</item>
      </candidateList>
      <explain xmlns="http://schemas.wps.cn/vas-ai-hub/contract-review">词汇“工业互联网”在特定场景下为固定表述形式，请确认此处的“工业物联网”是否存在不当。</explain>
      <paraID xmlns="http://schemas.wps.cn/vas-ai-hub/contract-review">    DBEC</paraID>
      <start xmlns="http://schemas.wps.cn/vas-ai-hub/contract-review">77</start>
      <end xmlns="http://schemas.wps.cn/vas-ai-hub/contract-review">82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23c0027c-7370-4051-b6d1-10e917ae9f70</errorID>
      <errorWord xmlns="http://schemas.wps.cn/vas-ai-hub/contract-review">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并有</item>
      </candidateList>
      <explain xmlns="http://schemas.wps.cn/vas-ai-hub/contract-review"/>
      <paraID xmlns="http://schemas.wps.cn/vas-ai-hub/contract-review">3BD06562</paraID>
      <start xmlns="http://schemas.wps.cn/vas-ai-hub/contract-review">110</start>
      <end xmlns="http://schemas.wps.cn/vas-ai-hub/contract-review">113</end>
      <status xmlns="http://schemas.wps.cn/vas-ai-hub/contract-review">modified</status>
      <modifiedWord xmlns="http://schemas.wps.cn/vas-ai-hub/contract-review">并有</modifiedWord>
      <trackRevisions xmlns="http://schemas.wps.cn/vas-ai-hub/contract-review">true</trackRevisions>
    </reviewItem>
    <reviewItem xmlns="http://schemas.wps.cn/vas-ai-hub/contract-review">
      <errorID xmlns="http://schemas.wps.cn/vas-ai-hub/contract-review">0fa96371-67f8-4600-943c-89ffd184e245</errorID>
      <errorWord xmlns="http://schemas.wps.cn/vas-ai-hub/contract-review">高效率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效率</item>
      </candidateList>
      <explain xmlns="http://schemas.wps.cn/vas-ai-hub/contract-review"/>
      <paraID xmlns="http://schemas.wps.cn/vas-ai-hub/contract-review">3D0698A5</paraID>
      <start xmlns="http://schemas.wps.cn/vas-ai-hub/contract-review">173</start>
      <end xmlns="http://schemas.wps.cn/vas-ai-hub/contract-review">178</end>
      <status xmlns="http://schemas.wps.cn/vas-ai-hub/contract-review">modified</status>
      <modifiedWord xmlns="http://schemas.wps.cn/vas-ai-hub/contract-review">效率</modifiedWord>
      <trackRevisions xmlns="http://schemas.wps.cn/vas-ai-hub/contract-review">true</trackRevisions>
    </reviewItem>
    <reviewItem xmlns="http://schemas.wps.cn/vas-ai-hub/contract-review">
      <errorID xmlns="http://schemas.wps.cn/vas-ai-hub/contract-review">f1c8607e-405c-4b79-b60a-00441b815282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461FD2C3</paraID>
      <start xmlns="http://schemas.wps.cn/vas-ai-hub/contract-review">47</start>
      <end xmlns="http://schemas.wps.cn/vas-ai-hub/contract-review">49</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60fa1d5c-429b-40f2-a2bd-5827ddaa1c28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461FD2C3</paraID>
      <start xmlns="http://schemas.wps.cn/vas-ai-hub/contract-review">51</start>
      <end xmlns="http://schemas.wps.cn/vas-ai-hub/contract-review">52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e5f413c6-1e1c-4112-8ad6-e5ab3726dc92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461FD2C3</paraID>
      <start xmlns="http://schemas.wps.cn/vas-ai-hub/contract-review">66</start>
      <end xmlns="http://schemas.wps.cn/vas-ai-hub/contract-review">68</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12deef6a-f34f-491e-b5f1-7d3c5506cbdf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461FD2C3</paraID>
      <start xmlns="http://schemas.wps.cn/vas-ai-hub/contract-review">70</start>
      <end xmlns="http://schemas.wps.cn/vas-ai-hub/contract-review">71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58634540-5c7d-4dea-9ed7-24eb0b87e2a2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461FD2C3</paraID>
      <start xmlns="http://schemas.wps.cn/vas-ai-hub/contract-review">85</start>
      <end xmlns="http://schemas.wps.cn/vas-ai-hub/contract-review">87</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29ccbe82-ba4b-4667-9201-7e1f36316ea0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461FD2C3</paraID>
      <start xmlns="http://schemas.wps.cn/vas-ai-hub/contract-review">89</start>
      <end xmlns="http://schemas.wps.cn/vas-ai-hub/contract-review">90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8bd12493-adf8-491d-9b02-b1b408787b6a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461FD2C3</paraID>
      <start xmlns="http://schemas.wps.cn/vas-ai-hub/contract-review">179</start>
      <end xmlns="http://schemas.wps.cn/vas-ai-hub/contract-review">181</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2da19cd2-1d66-4352-a8a9-9ae7c3889c25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461FD2C3</paraID>
      <start xmlns="http://schemas.wps.cn/vas-ai-hub/contract-review">193</start>
      <end xmlns="http://schemas.wps.cn/vas-ai-hub/contract-review">195</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aa9fc334-cad0-4184-8c7b-d6ad1b5fae6d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371A5198</paraID>
      <start xmlns="http://schemas.wps.cn/vas-ai-hub/contract-review">43</start>
      <end xmlns="http://schemas.wps.cn/vas-ai-hub/contract-review">45</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ca7d5738-f45c-4c35-b6e7-b5b188e04fe6</errorID>
      <errorWord xmlns="http://schemas.wps.cn/vas-ai-hub/contract-review">(a)</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（a）</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1DBDAA46</paraID>
      <start xmlns="http://schemas.wps.cn/vas-ai-hub/contract-review">0</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6714b7a7-a982-408b-b537-35d8a8570b6e</errorID>
      <errorWord xmlns="http://schemas.wps.cn/vas-ai-hub/contract-review">(b)</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（b）</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529CD1D7</paraID>
      <start xmlns="http://schemas.wps.cn/vas-ai-hub/contract-review">0</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136304d4-2f92-408a-9790-d5912197daa2</errorID>
      <errorWord xmlns="http://schemas.wps.cn/vas-ai-hub/contract-review">(a)</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（a）</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6696B98A</paraID>
      <start xmlns="http://schemas.wps.cn/vas-ai-hub/contract-review">0</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2d2f89fb-a098-44f3-83eb-530fa385090a</errorID>
      <errorWord xmlns="http://schemas.wps.cn/vas-ai-hub/contract-review">(b)</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（b）</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2C978C47</paraID>
      <start xmlns="http://schemas.wps.cn/vas-ai-hub/contract-review">0</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9b4f5843-5875-40f9-87a2-9b2952ac68ba</errorID>
      <errorWord xmlns="http://schemas.wps.cn/vas-ai-hub/contract-review">(c)</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（c）</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E3C957E</paraID>
      <start xmlns="http://schemas.wps.cn/vas-ai-hub/contract-review">0</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1c772bb8-5e3c-47b2-bce8-0cf12201af17</errorID>
      <errorWord xmlns="http://schemas.wps.cn/vas-ai-hub/contract-review">(a)</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（a）</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6910A9B0</paraID>
      <start xmlns="http://schemas.wps.cn/vas-ai-hub/contract-review">0</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70beeaaa-7828-4c7f-9dde-e1ff4fa0a802</errorID>
      <errorWord xmlns="http://schemas.wps.cn/vas-ai-hub/contract-review">(b)</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（b）</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6C8746F2</paraID>
      <start xmlns="http://schemas.wps.cn/vas-ai-hub/contract-review">0</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68f4696c-e8b6-4550-b208-c5def8930610</errorID>
      <errorWord xmlns="http://schemas.wps.cn/vas-ai-hub/contract-review">(a)</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（a）</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535473D3</paraID>
      <start xmlns="http://schemas.wps.cn/vas-ai-hub/contract-review">0</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0860769d-9c19-410c-a3b8-44c54a713c0e</errorID>
      <errorWord xmlns="http://schemas.wps.cn/vas-ai-hub/contract-review">(b)</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（b）</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2C469AE8</paraID>
      <start xmlns="http://schemas.wps.cn/vas-ai-hub/contract-review">0</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fbff2de0-229a-4772-bbb0-d807a33c674f</errorID>
      <errorWord xmlns="http://schemas.wps.cn/vas-ai-hub/contract-review">(c)</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（c）</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58DAAEE4</paraID>
      <start xmlns="http://schemas.wps.cn/vas-ai-hub/contract-review">0</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62e12bee-cd4f-4519-a6a4-f2217e97b809</errorID>
      <errorWord xmlns="http://schemas.wps.cn/vas-ai-hub/contract-review">(a)</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（a）</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6CAC954E</paraID>
      <start xmlns="http://schemas.wps.cn/vas-ai-hub/contract-review">0</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c39c8f9d-7000-4ad2-81f1-37e496f55977</errorID>
      <errorWord xmlns="http://schemas.wps.cn/vas-ai-hub/contract-review">(b)</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（b）</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7474FE85</paraID>
      <start xmlns="http://schemas.wps.cn/vas-ai-hub/contract-review">0</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7d7e87d7-6ea5-4b60-9c88-2511edb4472f</errorID>
      <errorWord xmlns="http://schemas.wps.cn/vas-ai-hub/contract-review">(c)</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（c）</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490AC487</paraID>
      <start xmlns="http://schemas.wps.cn/vas-ai-hub/contract-review">0</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d7262aee-d6e4-45d0-ba92-b4a79648616e</errorID>
      <errorWord xmlns="http://schemas.wps.cn/vas-ai-hub/contract-review">(a)</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（a）</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50605D80</paraID>
      <start xmlns="http://schemas.wps.cn/vas-ai-hub/contract-review">0</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1ddaa445-e115-48a4-a271-a3fc653c39ce</errorID>
      <errorWord xmlns="http://schemas.wps.cn/vas-ai-hub/contract-review">(b)</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（b）</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552D1A37</paraID>
      <start xmlns="http://schemas.wps.cn/vas-ai-hub/contract-review">0</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9da0cc99-9cb4-4584-ae18-fe9aeec6cc90</errorID>
      <errorWord xmlns="http://schemas.wps.cn/vas-ai-hub/contract-review">(a)</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（a）</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AE2F9F8</paraID>
      <start xmlns="http://schemas.wps.cn/vas-ai-hub/contract-review">0</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15bd0c37-3ea6-482b-9d30-c2ea1bcfe65e</errorID>
      <errorWord xmlns="http://schemas.wps.cn/vas-ai-hub/contract-review">(b)</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（b）</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671CB450</paraID>
      <start xmlns="http://schemas.wps.cn/vas-ai-hub/contract-review">0</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f1bb884d-fb41-45e4-9e79-ff682b2232c1</errorID>
      <errorWord xmlns="http://schemas.wps.cn/vas-ai-hub/contract-review">(a)</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（a）</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5C40B6AD</paraID>
      <start xmlns="http://schemas.wps.cn/vas-ai-hub/contract-review">0</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6063cbbe-5b46-4bd9-8e89-b1f0b052da55</errorID>
      <errorWord xmlns="http://schemas.wps.cn/vas-ai-hub/contract-review">(b)</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（b）</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47575C26</paraID>
      <start xmlns="http://schemas.wps.cn/vas-ai-hub/contract-review">0</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d99f2b79-75aa-4df0-8b67-1ab51b6a5829</errorID>
      <errorWord xmlns="http://schemas.wps.cn/vas-ai-hub/contract-review">其它</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其他</item>
      </candidateList>
      <explain xmlns="http://schemas.wps.cn/vas-ai-hub/contract-review">词汇[其它]为不规范表述或旧称，其规范书面表述为[其他]。</explain>
      <paraID xmlns="http://schemas.wps.cn/vas-ai-hub/contract-review">493A6924</paraID>
      <start xmlns="http://schemas.wps.cn/vas-ai-hub/contract-review">27</start>
      <end xmlns="http://schemas.wps.cn/vas-ai-hub/contract-review">31</end>
      <status xmlns="http://schemas.wps.cn/vas-ai-hub/contract-review">modified</status>
      <modifiedWord xmlns="http://schemas.wps.cn/vas-ai-hub/contract-review">其他</modifiedWord>
      <trackRevisions xmlns="http://schemas.wps.cn/vas-ai-hub/contract-review">true</trackRevisions>
    </reviewItem>
    <reviewItem xmlns="http://schemas.wps.cn/vas-ai-hub/contract-review">
      <errorID xmlns="http://schemas.wps.cn/vas-ai-hub/contract-review">96a98ef9-4ecb-4af6-ad88-0ef68ca8388e</errorID>
      <errorWord xmlns="http://schemas.wps.cn/vas-ai-hub/contract-review">做</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作</item>
      </candidateList>
      <explain xmlns="http://schemas.wps.cn/vas-ai-hub/contract-review">存在发音相同字词的误用。</explain>
      <paraID xmlns="http://schemas.wps.cn/vas-ai-hub/contract-review">6C14976E</paraID>
      <start xmlns="http://schemas.wps.cn/vas-ai-hub/contract-review">47</start>
      <end xmlns="http://schemas.wps.cn/vas-ai-hub/contract-review">48</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44b0a57c-ae5a-4bce-9d2a-8fc4eb30d85d</errorID>
      <errorWord xmlns="http://schemas.wps.cn/vas-ai-hub/contract-review">重心</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中心</item>
      </candidateList>
      <explain xmlns="http://schemas.wps.cn/vas-ai-hub/contract-review"/>
      <paraID xmlns="http://schemas.wps.cn/vas-ai-hub/contract-review">44D7E07E</paraID>
      <start xmlns="http://schemas.wps.cn/vas-ai-hub/contract-review">12</start>
      <end xmlns="http://schemas.wps.cn/vas-ai-hub/contract-review">14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bde0fd40-19b5-429c-ad74-8280875dba3d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7DD41672</paraID>
      <start xmlns="http://schemas.wps.cn/vas-ai-hub/contract-review">43</start>
      <end xmlns="http://schemas.wps.cn/vas-ai-hub/contract-review">44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60e98864-59c4-48fa-a19c-0c12a219124e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7DD41672</paraID>
      <start xmlns="http://schemas.wps.cn/vas-ai-hub/contract-review">56</start>
      <end xmlns="http://schemas.wps.cn/vas-ai-hub/contract-review">57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d1931a9c-51db-4bf7-832a-60e93f3f2ad1</errorID>
      <errorWord xmlns="http://schemas.wps.cn/vas-ai-hub/contract-review">需</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须</item>
      </candidateList>
      <explain xmlns="http://schemas.wps.cn/vas-ai-hub/contract-review">（鬚）xū❶原来指长在下巴上的胡子，后来泛指胡须：～发｜～眉。❷须子：触～｜花～。</explain>
      <paraID xmlns="http://schemas.wps.cn/vas-ai-hub/contract-review">7D236A84</paraID>
      <start xmlns="http://schemas.wps.cn/vas-ai-hub/contract-review">35</start>
      <end xmlns="http://schemas.wps.cn/vas-ai-hub/contract-review">36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1204fc42-2d47-4321-839c-1f80af4ee835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4A2C1C8D</paraID>
      <start xmlns="http://schemas.wps.cn/vas-ai-hub/contract-review">72</start>
      <end xmlns="http://schemas.wps.cn/vas-ai-hub/contract-review">73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33e88a60-d4f7-403b-ad29-28c03696af19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7BF54F72</paraID>
      <start xmlns="http://schemas.wps.cn/vas-ai-hub/contract-review">123</start>
      <end xmlns="http://schemas.wps.cn/vas-ai-hub/contract-review">125</end>
      <status xmlns="http://schemas.wps.cn/vas-ai-hub/contract-review">modified</status>
      <modifiedWord xmlns="http://schemas.wps.cn/vas-ai-hub/contract-review">，</modifiedWord>
      <trackRevisions xmlns="http://schemas.wps.cn/vas-ai-hub/contract-review">true</trackRevisions>
    </reviewItem>
  </reviewItems>
  <config xmlns="http://schemas.wps.cn/vas-ai-hub/contract-review"/>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E54481-7F5E-4F6F-BC92-C47D35FE3EB3}">
  <ds:schemaRefs/>
</ds:datastoreItem>
</file>

<file path=customXml/itemProps3.xml><?xml version="1.0" encoding="utf-8"?>
<ds:datastoreItem xmlns:ds="http://schemas.openxmlformats.org/officeDocument/2006/customXml" ds:itemID="{e991c1d3-1706-4978-9a95-dae9408460a1}">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87</Pages>
  <Words>51725</Words>
  <Characters>55921</Characters>
  <Lines>2316</Lines>
  <Paragraphs>2562</Paragraphs>
  <TotalTime>3</TotalTime>
  <ScaleCrop>false</ScaleCrop>
  <LinksUpToDate>false</LinksUpToDate>
  <CharactersWithSpaces>58832</CharactersWithSpaces>
  <Application>WPS Office_11.8.2.1132_F1E327BC-269C-435d-A152-05C5408002CA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2025-04-19T15:49:00Z</dcterms:created>
  <dc:creator>Allen</dc:creator>
  <cp:lastModifiedBy>zjw</cp:lastModifiedBy>
  <cp:lastPrinted>2025-06-18T10:17:00Z</cp:lastPrinted>
  <dcterms:modified xsi:type="dcterms:W3CDTF">2026-03-16T09:27:18Z</dcterms:modified>
  <cp:revision>185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2052-11.8.2.1132</vt:lpwstr>
  </property>
  <property fmtid="{D5CDD505-2E9C-101B-9397-08002B2CF9AE}" pid="3" name="ICV">
    <vt:lpwstr>132391530CFCBC85765CB76948BA8732</vt:lpwstr>
  </property>
  <property fmtid="{D5CDD505-2E9C-101B-9397-08002B2CF9AE}" pid="4" name="KSOTemplateDocerSaveRecord">
    <vt:lpwstr>eyJoZGlkIjoiMTYwZjAxZjJlODM3ZDU1MDNkNWQ4ZmE3MzY1N2M2NGEiLCJ1c2VySWQiOiIxOTQ3MjY0MDgifQ==</vt:lpwstr>
  </property>
</Properties>
</file>